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03AE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FAFC047">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0B5FCEC7">
            <w:pPr>
              <w:pStyle w:val="18"/>
              <w:framePr w:wrap="notBeside" w:vAnchor="page" w:hAnchor="page" w:x="1372" w:y="568"/>
              <w:spacing w:line="240" w:lineRule="auto"/>
              <w:jc w:val="both"/>
              <w:rPr>
                <w:rFonts w:ascii="黑体" w:hAnsi="黑体" w:eastAsia="黑体"/>
              </w:rPr>
            </w:pPr>
            <w:r>
              <w:rPr>
                <w:rFonts w:ascii="黑体" w:hAnsi="黑体" w:eastAsia="黑体"/>
              </w:rPr>
              <w:t>03.080.10</w:t>
            </w:r>
          </w:p>
          <w:p w14:paraId="3D09DF28">
            <w:pPr>
              <w:pStyle w:val="18"/>
              <w:framePr w:wrap="notBeside" w:vAnchor="page" w:hAnchor="page" w:x="1372" w:y="568"/>
              <w:tabs>
                <w:tab w:val="clear" w:pos="4153"/>
                <w:tab w:val="clear" w:pos="8306"/>
              </w:tabs>
              <w:spacing w:line="240" w:lineRule="auto"/>
              <w:jc w:val="both"/>
              <w:rPr>
                <w:rFonts w:ascii="黑体" w:hAnsi="黑体" w:eastAsia="黑体"/>
                <w:sz w:val="21"/>
                <w:szCs w:val="21"/>
              </w:rPr>
            </w:pPr>
          </w:p>
        </w:tc>
      </w:tr>
      <w:tr w14:paraId="3E221D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F72E7DD">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14:paraId="21EC4A98">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hint="eastAsia" w:ascii="黑体" w:hAnsi="黑体" w:eastAsia="黑体"/>
                <w:sz w:val="21"/>
                <w:szCs w:val="21"/>
              </w:rPr>
              <w:t>A00</w:t>
            </w:r>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4790EF9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53E63EE4">
            <w:pPr>
              <w:pStyle w:val="49"/>
              <w:framePr w:w="0" w:hRule="auto" w:wrap="auto" w:vAnchor="margin" w:hAnchor="text" w:xAlign="left" w:yAlign="inline"/>
              <w:rPr>
                <w:rFonts w:ascii="宋体" w:hAnsi="宋体"/>
                <w:sz w:val="28"/>
                <w:szCs w:val="28"/>
              </w:rPr>
            </w:pPr>
            <w:bookmarkStart w:id="0"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1" w:name="c1"/>
            <w:r>
              <w:instrText xml:space="preserve"> FORMTEXT </w:instrText>
            </w:r>
            <w:r>
              <w:fldChar w:fldCharType="separate"/>
            </w:r>
            <w:r>
              <w:rPr>
                <w:rFonts w:hint="eastAsia"/>
              </w:rPr>
              <w:t>34</w:t>
            </w:r>
            <w:r>
              <w:fldChar w:fldCharType="end"/>
            </w:r>
            <w:bookmarkEnd w:id="1"/>
          </w:p>
        </w:tc>
      </w:tr>
    </w:tbl>
    <w:p w14:paraId="4A912AB5">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2"/>
      <w:r>
        <w:rPr>
          <w:rFonts w:hint="eastAsia" w:ascii="黑体" w:hAnsi="黑体" w:eastAsia="黑体"/>
          <w:b w:val="0"/>
          <w:bCs w:val="0"/>
          <w:w w:val="100"/>
          <w:sz w:val="48"/>
          <w:szCs w:val="48"/>
        </w:rPr>
        <w:t>地方标准</w:t>
      </w:r>
    </w:p>
    <w:bookmarkEnd w:id="0"/>
    <w:p w14:paraId="646CC45D">
      <w:pPr>
        <w:pStyle w:val="195"/>
        <w:rPr>
          <w:lang w:val="fr-FR"/>
        </w:rPr>
      </w:pPr>
      <w:r>
        <w:rPr>
          <w:lang w:val="fr-FR"/>
        </w:rPr>
        <w:t>DB</w:t>
      </w:r>
      <w:r>
        <w:fldChar w:fldCharType="begin">
          <w:ffData>
            <w:name w:val="文字1"/>
            <w:enabled/>
            <w:calcOnExit w:val="0"/>
            <w:textInput>
              <w:default w:val="34/T"/>
            </w:textInput>
          </w:ffData>
        </w:fldChar>
      </w:r>
      <w:bookmarkStart w:id="3" w:name="文字1"/>
      <w:r>
        <w:instrText xml:space="preserve"> FORMTEXT </w:instrText>
      </w:r>
      <w:r>
        <w:fldChar w:fldCharType="separate"/>
      </w:r>
      <w:r>
        <w:t>34/T</w:t>
      </w:r>
      <w:r>
        <w:fldChar w:fldCharType="end"/>
      </w:r>
      <w:bookmarkEnd w:id="3"/>
      <w:r>
        <w:rPr>
          <w:rFonts w:hint="eastAsia"/>
        </w:rPr>
        <w:t>XXXX</w:t>
      </w:r>
      <w:r>
        <w:rPr>
          <w:rFonts w:hAnsi="黑体"/>
          <w:lang w:val="fr-FR"/>
        </w:rPr>
        <w:t>—</w:t>
      </w:r>
      <w:r>
        <w:rPr>
          <w:rFonts w:hint="eastAsia" w:hAnsi="黑体"/>
          <w:lang w:val="fr-FR"/>
        </w:rPr>
        <w:t>XXXX</w:t>
      </w:r>
    </w:p>
    <w:p w14:paraId="262BF0BC">
      <w:pPr>
        <w:spacing w:line="240" w:lineRule="auto"/>
        <w:rPr>
          <w:rFonts w:ascii="黑体" w:hAnsi="黑体" w:eastAsia="黑体"/>
          <w:kern w:val="0"/>
          <w:sz w:val="10"/>
          <w:szCs w:val="10"/>
        </w:rPr>
      </w:pPr>
      <w:r>
        <w:rPr>
          <w:rFonts w:ascii="黑体" w:hAnsi="黑体" w:eastAsia="黑体"/>
          <w:kern w:val="0"/>
          <w:sz w:val="10"/>
          <w:szCs w:val="10"/>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14:paraId="2B9987AD">
      <w:pPr>
        <w:pStyle w:val="50"/>
        <w:framePr w:w="9639" w:h="6976" w:hRule="exact" w:hSpace="0" w:vSpace="0" w:wrap="around" w:hAnchor="page" w:y="6408"/>
        <w:jc w:val="center"/>
        <w:rPr>
          <w:rFonts w:ascii="黑体" w:hAnsi="黑体" w:eastAsia="黑体"/>
          <w:b w:val="0"/>
          <w:bCs w:val="0"/>
          <w:w w:val="100"/>
        </w:rPr>
      </w:pPr>
    </w:p>
    <w:p w14:paraId="124469F6">
      <w:pPr>
        <w:pStyle w:val="197"/>
        <w:framePr w:w="10273" w:h="6974" w:hRule="exact" w:wrap="around" w:x="877" w:y="6121" w:anchorLock="1"/>
        <w:ind w:left="3330" w:leftChars="100" w:hanging="3120" w:hangingChars="600"/>
        <w:jc w:val="both"/>
      </w:pPr>
      <w:r>
        <w:rPr>
          <w:rFonts w:hint="eastAsia"/>
        </w:rPr>
        <w:fldChar w:fldCharType="begin">
          <w:ffData>
            <w:name w:val="CSTD_NAME"/>
            <w:enabled/>
            <w:calcOnExit w:val="0"/>
            <w:textInput>
              <w:default w:val="工业产品生产许可现场评审规范          第2部分：危险化学品"/>
            </w:textInput>
          </w:ffData>
        </w:fldChar>
      </w:r>
      <w:bookmarkStart w:id="4" w:name="CSTD_NAME"/>
      <w:r>
        <w:rPr>
          <w:rFonts w:hint="eastAsia"/>
        </w:rPr>
        <w:instrText xml:space="preserve"> FORMTEXT </w:instrText>
      </w:r>
      <w:r>
        <w:rPr>
          <w:rFonts w:hint="eastAsia"/>
        </w:rPr>
        <w:fldChar w:fldCharType="separate"/>
      </w:r>
      <w:r>
        <w:rPr>
          <w:rFonts w:hint="eastAsia"/>
        </w:rPr>
        <w:t>工业产品生产许可现场评审规范          第2部分：危险化学品</w:t>
      </w:r>
      <w:r>
        <w:rPr>
          <w:rFonts w:hint="eastAsia"/>
        </w:rPr>
        <w:fldChar w:fldCharType="end"/>
      </w:r>
      <w:bookmarkEnd w:id="4"/>
    </w:p>
    <w:p w14:paraId="5E08C6AE">
      <w:pPr>
        <w:framePr w:w="10273" w:h="6974" w:hRule="exact" w:wrap="around" w:vAnchor="page" w:hAnchor="page" w:x="877" w:y="6121" w:anchorLock="1"/>
        <w:ind w:left="-1418"/>
      </w:pPr>
    </w:p>
    <w:p w14:paraId="50A91218">
      <w:pPr>
        <w:pStyle w:val="125"/>
        <w:framePr w:w="10273" w:h="6974" w:hRule="exact" w:wrap="around" w:vAnchor="page" w:hAnchor="page" w:x="877" w:y="6121"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5"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 xml:space="preserve">Specification for on-site review ofproduction license ofindustrial products Part2 ：hazardous chemicals </w:t>
      </w:r>
      <w:r>
        <w:rPr>
          <w:rFonts w:ascii="黑体" w:hAnsi="黑体" w:eastAsia="黑体"/>
          <w:szCs w:val="28"/>
        </w:rPr>
        <w:t>     </w:t>
      </w:r>
      <w:r>
        <w:rPr>
          <w:rFonts w:ascii="黑体" w:hAnsi="黑体" w:eastAsia="黑体"/>
          <w:szCs w:val="28"/>
        </w:rPr>
        <w:fldChar w:fldCharType="end"/>
      </w:r>
      <w:bookmarkEnd w:id="5"/>
    </w:p>
    <w:p w14:paraId="5F78EFBF">
      <w:pPr>
        <w:framePr w:w="10273" w:h="6974" w:hRule="exact" w:wrap="around" w:vAnchor="page" w:hAnchor="page" w:x="877" w:y="6121" w:anchorLock="1"/>
        <w:spacing w:line="760" w:lineRule="exact"/>
        <w:ind w:left="-1418"/>
      </w:pPr>
    </w:p>
    <w:p w14:paraId="0E940A02">
      <w:pPr>
        <w:pStyle w:val="125"/>
        <w:framePr w:w="10273" w:h="6974" w:hRule="exact" w:wrap="around" w:vAnchor="page" w:hAnchor="page" w:x="877" w:y="6121" w:anchorLock="1"/>
        <w:textAlignment w:val="bottom"/>
        <w:rPr>
          <w:rFonts w:eastAsia="黑体"/>
          <w:szCs w:val="28"/>
        </w:rPr>
      </w:pPr>
    </w:p>
    <w:p w14:paraId="5987CD40">
      <w:pPr>
        <w:pStyle w:val="125"/>
        <w:framePr w:w="10273" w:h="6974" w:hRule="exact" w:wrap="around" w:vAnchor="page" w:hAnchor="page" w:x="877" w:y="6121"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6" w:name="下拉1"/>
      <w:r>
        <w:rPr>
          <w:sz w:val="24"/>
          <w:szCs w:val="28"/>
        </w:rPr>
        <w:instrText xml:space="preserve"> FORMDROPDOWN </w:instrText>
      </w:r>
      <w:r>
        <w:rPr>
          <w:sz w:val="24"/>
          <w:szCs w:val="28"/>
        </w:rPr>
        <w:fldChar w:fldCharType="separate"/>
      </w:r>
      <w:r>
        <w:rPr>
          <w:sz w:val="24"/>
          <w:szCs w:val="28"/>
        </w:rPr>
        <w:fldChar w:fldCharType="end"/>
      </w:r>
      <w:bookmarkEnd w:id="6"/>
    </w:p>
    <w:p w14:paraId="68BE38E8">
      <w:pPr>
        <w:pStyle w:val="125"/>
        <w:framePr w:w="10273" w:h="6974" w:hRule="exact" w:wrap="around" w:vAnchor="page" w:hAnchor="page" w:x="877" w:y="6121"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7"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7"/>
    </w:p>
    <w:p w14:paraId="7F28A932">
      <w:pPr>
        <w:pStyle w:val="125"/>
        <w:framePr w:w="10273" w:h="6974" w:hRule="exact" w:wrap="around" w:vAnchor="page" w:hAnchor="page" w:x="877" w:y="6121"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8" w:name="下拉2"/>
      <w:r>
        <w:rPr>
          <w:b/>
          <w:sz w:val="21"/>
          <w:szCs w:val="28"/>
        </w:rPr>
        <w:instrText xml:space="preserve"> FORMDROPDOWN </w:instrText>
      </w:r>
      <w:r>
        <w:rPr>
          <w:b/>
          <w:sz w:val="21"/>
          <w:szCs w:val="28"/>
        </w:rPr>
        <w:fldChar w:fldCharType="separate"/>
      </w:r>
      <w:r>
        <w:rPr>
          <w:b/>
          <w:sz w:val="21"/>
          <w:szCs w:val="28"/>
        </w:rPr>
        <w:fldChar w:fldCharType="end"/>
      </w:r>
      <w:bookmarkEnd w:id="8"/>
    </w:p>
    <w:p w14:paraId="0CAE1F88">
      <w:pPr>
        <w:pStyle w:val="193"/>
        <w:framePr w:wrap="around" w:y="14176"/>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9"/>
      <w:r>
        <w:rPr>
          <w:rFonts w:ascii="黑体"/>
        </w:rPr>
        <w:t>-</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ascii="黑体"/>
        </w:rPr>
        <w:t>-</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hint="eastAsia"/>
        </w:rPr>
        <w:t>发布</w:t>
      </w:r>
    </w:p>
    <w:p w14:paraId="561E8C6F">
      <w:pPr>
        <w:pStyle w:val="194"/>
        <w:framePr w:wrap="around" w:y="14176"/>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rPr>
          <w:rFonts w:ascii="黑体"/>
        </w:rPr>
        <w:t>-</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ascii="黑体"/>
        </w:rPr>
        <w:t>-</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实施</w:t>
      </w:r>
    </w:p>
    <w:p w14:paraId="388FA7BD">
      <w:pPr>
        <w:pStyle w:val="151"/>
        <w:framePr w:h="584" w:hRule="exact" w:hSpace="181" w:vSpace="181" w:wrap="around" w:y="15027"/>
        <w:rPr>
          <w:rFonts w:hAnsi="黑体"/>
        </w:rPr>
      </w:pPr>
      <w:r>
        <w:rPr>
          <w:rFonts w:hint="eastAsia" w:hAnsi="黑体"/>
          <w:w w:val="100"/>
          <w:sz w:val="28"/>
        </w:rPr>
        <w:fldChar w:fldCharType="begin">
          <w:ffData>
            <w:name w:val="fm"/>
            <w:enabled/>
            <w:calcOnExit w:val="0"/>
            <w:textInput>
              <w:default w:val="安徽省市场监督管理局"/>
            </w:textInput>
          </w:ffData>
        </w:fldChar>
      </w:r>
      <w:bookmarkStart w:id="15" w:name="fm"/>
      <w:r>
        <w:rPr>
          <w:rFonts w:hAnsi="黑体"/>
          <w:w w:val="100"/>
          <w:sz w:val="28"/>
        </w:rPr>
        <w:instrText xml:space="preserve">FORMTEXT</w:instrText>
      </w:r>
      <w:r>
        <w:rPr>
          <w:rFonts w:hint="eastAsia" w:hAnsi="黑体"/>
          <w:w w:val="100"/>
          <w:sz w:val="28"/>
        </w:rPr>
        <w:fldChar w:fldCharType="separate"/>
      </w:r>
      <w:r>
        <w:rPr>
          <w:rFonts w:hint="eastAsia" w:hAnsi="黑体"/>
          <w:w w:val="100"/>
          <w:sz w:val="28"/>
        </w:rPr>
        <w:t>安徽省市场监督管理局</w:t>
      </w:r>
      <w:r>
        <w:rPr>
          <w:rFonts w:hint="eastAsia" w:hAnsi="黑体"/>
          <w:w w:val="100"/>
          <w:sz w:val="28"/>
        </w:rPr>
        <w:fldChar w:fldCharType="end"/>
      </w:r>
      <w:bookmarkEnd w:id="15"/>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5983F2EE">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_x0000_s2050" o:spid="_x0000_s2050"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14:paraId="33AA904F">
      <w:pPr>
        <w:pStyle w:val="89"/>
        <w:spacing w:before="900" w:after="468"/>
      </w:pPr>
      <w:bookmarkStart w:id="16" w:name="BookMark2"/>
      <w:r>
        <w:rPr>
          <w:rFonts w:hint="eastAsia"/>
          <w:spacing w:val="320"/>
        </w:rPr>
        <w:t>前</w:t>
      </w:r>
      <w:r>
        <w:rPr>
          <w:rFonts w:hint="eastAsia"/>
        </w:rPr>
        <w:t>言</w:t>
      </w:r>
    </w:p>
    <w:p w14:paraId="17E269A2">
      <w:pPr>
        <w:spacing w:before="68" w:line="247" w:lineRule="auto"/>
        <w:ind w:firstLine="420"/>
        <w:rPr>
          <w:rFonts w:ascii="宋体" w:hAnsi="宋体" w:cs="宋体"/>
        </w:rPr>
      </w:pPr>
      <w:r>
        <w:rPr>
          <w:rFonts w:ascii="宋体" w:hAnsi="宋体" w:cs="宋体"/>
          <w:spacing w:val="-4"/>
        </w:rPr>
        <w:t>本文件按照 GB/T 1.1—2020《标准化工作导则  第1部分： 标准化文件的结构和起草规则</w:t>
      </w:r>
      <w:r>
        <w:rPr>
          <w:rFonts w:ascii="宋体" w:hAnsi="宋体" w:cs="宋体"/>
          <w:spacing w:val="-5"/>
        </w:rPr>
        <w:t>》的规定</w:t>
      </w:r>
      <w:r>
        <w:rPr>
          <w:rFonts w:ascii="宋体" w:hAnsi="宋体" w:cs="宋体"/>
          <w:spacing w:val="-9"/>
        </w:rPr>
        <w:t>起草。</w:t>
      </w:r>
    </w:p>
    <w:p w14:paraId="3D82DC88">
      <w:pPr>
        <w:spacing w:before="62" w:line="247" w:lineRule="auto"/>
        <w:ind w:left="22" w:firstLine="397"/>
        <w:rPr>
          <w:rFonts w:ascii="宋体" w:hAnsi="宋体" w:cs="宋体"/>
        </w:rPr>
      </w:pPr>
      <w:r>
        <w:rPr>
          <w:rFonts w:ascii="宋体" w:hAnsi="宋体" w:cs="宋体"/>
          <w:spacing w:val="-2"/>
        </w:rPr>
        <w:t>本文件是 DB34/T4688 《工业产品生产许可现场评审规范》的第</w:t>
      </w:r>
      <w:r>
        <w:rPr>
          <w:rFonts w:hint="eastAsia" w:ascii="宋体" w:hAnsi="宋体" w:cs="宋体"/>
          <w:spacing w:val="-2"/>
          <w:lang w:val="en-US" w:eastAsia="zh-CN"/>
        </w:rPr>
        <w:t>2</w:t>
      </w:r>
      <w:r>
        <w:rPr>
          <w:rFonts w:ascii="宋体" w:hAnsi="宋体" w:cs="宋体"/>
          <w:spacing w:val="-2"/>
        </w:rPr>
        <w:t>部分。DB34/T4688已经发布了</w:t>
      </w:r>
      <w:r>
        <w:rPr>
          <w:rFonts w:ascii="宋体" w:hAnsi="宋体" w:cs="宋体"/>
          <w:spacing w:val="-13"/>
        </w:rPr>
        <w:t>以下部分：</w:t>
      </w:r>
    </w:p>
    <w:p w14:paraId="4AE52E05">
      <w:pPr>
        <w:spacing w:before="61" w:line="220" w:lineRule="auto"/>
        <w:ind w:left="422"/>
        <w:rPr>
          <w:rFonts w:ascii="宋体" w:hAnsi="宋体" w:cs="宋体"/>
        </w:rPr>
      </w:pPr>
      <w:r>
        <w:rPr>
          <w:rFonts w:ascii="宋体" w:hAnsi="宋体" w:cs="宋体"/>
          <w:spacing w:val="-15"/>
        </w:rPr>
        <w:t>——第1部分： 总则。</w:t>
      </w:r>
    </w:p>
    <w:p w14:paraId="2287AE26">
      <w:pPr>
        <w:spacing w:before="61" w:line="220" w:lineRule="auto"/>
        <w:ind w:left="417"/>
        <w:rPr>
          <w:rFonts w:ascii="宋体" w:hAnsi="宋体" w:cs="宋体"/>
        </w:rPr>
      </w:pPr>
      <w:r>
        <w:rPr>
          <w:rFonts w:ascii="宋体" w:hAnsi="宋体" w:cs="宋体"/>
          <w:spacing w:val="-1"/>
        </w:rPr>
        <w:t>请注意本文件的某些内容可能涉及专利。本文件的发布机构不承担识别专利的责任。</w:t>
      </w:r>
    </w:p>
    <w:p w14:paraId="5FF36F8A">
      <w:pPr>
        <w:spacing w:before="62" w:line="220" w:lineRule="auto"/>
        <w:ind w:left="420"/>
        <w:rPr>
          <w:rFonts w:ascii="宋体" w:hAnsi="宋体" w:cs="宋体"/>
        </w:rPr>
      </w:pPr>
      <w:r>
        <w:rPr>
          <w:rFonts w:ascii="宋体" w:hAnsi="宋体" w:cs="宋体"/>
          <w:spacing w:val="-2"/>
        </w:rPr>
        <w:t>本文件由安徽省市场监督管理局提出并归口。</w:t>
      </w:r>
    </w:p>
    <w:p w14:paraId="726D16E3">
      <w:pPr>
        <w:spacing w:before="62" w:line="256" w:lineRule="auto"/>
        <w:ind w:right="1" w:firstLine="420"/>
        <w:rPr>
          <w:rFonts w:ascii="宋体" w:hAnsi="宋体" w:cs="宋体"/>
        </w:rPr>
      </w:pPr>
      <w:r>
        <w:rPr>
          <w:rFonts w:ascii="宋体" w:hAnsi="宋体" w:cs="宋体"/>
          <w:spacing w:val="-6"/>
        </w:rPr>
        <w:t>本文件起草单位：安徽省</w:t>
      </w:r>
      <w:r>
        <w:rPr>
          <w:rFonts w:hint="eastAsia" w:ascii="宋体" w:hAnsi="宋体" w:cs="宋体"/>
          <w:spacing w:val="-6"/>
        </w:rPr>
        <w:t>食品药品</w:t>
      </w:r>
      <w:r>
        <w:rPr>
          <w:rFonts w:ascii="宋体" w:hAnsi="宋体" w:cs="宋体"/>
          <w:spacing w:val="-6"/>
        </w:rPr>
        <w:t>检验研究院</w:t>
      </w:r>
      <w:r>
        <w:rPr>
          <w:rFonts w:hint="eastAsia" w:ascii="宋体" w:hAnsi="宋体" w:cs="宋体"/>
          <w:spacing w:val="-6"/>
        </w:rPr>
        <w:t>、合肥产品质量监督检验研究院等。</w:t>
      </w:r>
    </w:p>
    <w:p w14:paraId="1034C197">
      <w:pPr>
        <w:spacing w:before="62" w:line="247" w:lineRule="auto"/>
        <w:ind w:left="3" w:firstLine="416"/>
        <w:rPr>
          <w:rFonts w:ascii="宋体" w:hAnsi="宋体" w:cs="宋体"/>
        </w:rPr>
      </w:pPr>
      <w:r>
        <w:rPr>
          <w:rFonts w:ascii="宋体" w:hAnsi="宋体" w:cs="宋体"/>
          <w:spacing w:val="-6"/>
        </w:rPr>
        <w:t>本文件主要起草人：</w:t>
      </w:r>
      <w:r>
        <w:rPr>
          <w:rFonts w:hint="eastAsia" w:ascii="宋体" w:hAnsi="宋体" w:cs="宋体"/>
          <w:spacing w:val="-1"/>
        </w:rPr>
        <w:t>暂略</w:t>
      </w:r>
      <w:r>
        <w:rPr>
          <w:rFonts w:ascii="宋体" w:hAnsi="宋体" w:cs="宋体"/>
          <w:spacing w:val="-1"/>
        </w:rPr>
        <w:t>。</w:t>
      </w:r>
    </w:p>
    <w:p w14:paraId="65AD3322">
      <w:pPr>
        <w:pStyle w:val="56"/>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16"/>
    <w:p w14:paraId="1C35954B">
      <w:pPr>
        <w:pStyle w:val="89"/>
        <w:spacing w:after="468"/>
      </w:pPr>
      <w:bookmarkStart w:id="17" w:name="BookMark3"/>
      <w:r>
        <w:rPr>
          <w:rFonts w:hint="eastAsia"/>
          <w:spacing w:val="320"/>
        </w:rPr>
        <w:t>引</w:t>
      </w:r>
      <w:r>
        <w:rPr>
          <w:rFonts w:hint="eastAsia"/>
        </w:rPr>
        <w:t>言</w:t>
      </w:r>
    </w:p>
    <w:p w14:paraId="3607D089">
      <w:pPr>
        <w:spacing w:before="61" w:line="220" w:lineRule="auto"/>
        <w:ind w:left="423" w:firstLine="420" w:firstLineChars="200"/>
        <w:rPr>
          <w:rFonts w:ascii="宋体" w:hAnsi="宋体" w:cs="宋体"/>
        </w:rPr>
      </w:pPr>
      <w:r>
        <w:rPr>
          <w:rFonts w:hint="eastAsia" w:ascii="宋体" w:hAnsi="宋体" w:cs="宋体"/>
        </w:rPr>
        <w:t>目前我国实施工业产品生产许可证管理目录的产品有14类： 建筑用钢筋、水泥、广播电视传输设备、 人民币鉴别仪、预应力混凝土铁路桥简支梁、危险化学品、电线电缆、危险化学品包装物及容器、化肥、 食品相关产品、燃气器具、钢丝绳、人造板、特种劳动防护用品。其生产许可证由省级市场监管部门负责审批核发。</w:t>
      </w:r>
    </w:p>
    <w:p w14:paraId="061ED7DD">
      <w:pPr>
        <w:spacing w:before="61" w:line="220" w:lineRule="auto"/>
        <w:ind w:left="423"/>
        <w:rPr>
          <w:rFonts w:ascii="宋体" w:hAnsi="宋体" w:cs="宋体"/>
        </w:rPr>
      </w:pPr>
      <w:r>
        <w:rPr>
          <w:rFonts w:hint="eastAsia" w:ascii="宋体" w:hAnsi="宋体" w:cs="宋体"/>
        </w:rPr>
        <w:t>为进一步规范工业产品生产许可现场评审流程， 提高生产许可证现场评审的工作质量， 强化廉洁自律和风险管控，落实工业产品生产许可现场评审规范化、标准化要求，制定本文件。</w:t>
      </w:r>
    </w:p>
    <w:p w14:paraId="38510647">
      <w:pPr>
        <w:spacing w:before="61" w:line="220" w:lineRule="auto"/>
        <w:ind w:left="423"/>
        <w:rPr>
          <w:rFonts w:ascii="宋体" w:hAnsi="宋体" w:cs="宋体"/>
        </w:rPr>
      </w:pPr>
      <w:r>
        <w:rPr>
          <w:rFonts w:hint="eastAsia" w:ascii="宋体" w:hAnsi="宋体" w:cs="宋体"/>
        </w:rPr>
        <w:t>本文件拟由 4 个部分组成。</w:t>
      </w:r>
    </w:p>
    <w:p w14:paraId="792F25CD">
      <w:pPr>
        <w:spacing w:before="61" w:line="220" w:lineRule="auto"/>
        <w:ind w:left="423"/>
        <w:rPr>
          <w:rFonts w:ascii="宋体" w:hAnsi="宋体" w:cs="宋体"/>
        </w:rPr>
      </w:pPr>
      <w:r>
        <w:rPr>
          <w:rFonts w:hint="eastAsia" w:ascii="宋体" w:hAnsi="宋体" w:cs="宋体"/>
        </w:rPr>
        <w:t>——第1部分：总则。目的在于为工业产品生产许可现场评审工作确立程序及要求。</w:t>
      </w:r>
    </w:p>
    <w:p w14:paraId="08BC39E1">
      <w:pPr>
        <w:spacing w:before="61" w:line="220" w:lineRule="auto"/>
        <w:ind w:left="423"/>
        <w:rPr>
          <w:rFonts w:ascii="宋体" w:hAnsi="宋体" w:cs="宋体"/>
        </w:rPr>
      </w:pPr>
      <w:r>
        <w:rPr>
          <w:rFonts w:hint="eastAsia" w:ascii="宋体" w:hAnsi="宋体" w:cs="宋体"/>
        </w:rPr>
        <w:t>——第2部分：危险化学品。目的在于为危险化学品产品生产许可现场评审工作确立规定评审的内容及要求。</w:t>
      </w:r>
    </w:p>
    <w:p w14:paraId="43A18A14">
      <w:pPr>
        <w:spacing w:before="61" w:line="220" w:lineRule="auto"/>
        <w:ind w:left="423"/>
        <w:rPr>
          <w:rFonts w:ascii="宋体" w:hAnsi="宋体" w:cs="宋体"/>
        </w:rPr>
      </w:pPr>
      <w:r>
        <w:rPr>
          <w:rFonts w:hint="eastAsia" w:ascii="宋体" w:hAnsi="宋体" w:cs="宋体"/>
        </w:rPr>
        <w:t>——第3部分：电线电缆。目的在于为电线电缆产品生产许可现场评审工作确立规定评审的内容及要求。</w:t>
      </w:r>
    </w:p>
    <w:p w14:paraId="5AE1B7DC">
      <w:pPr>
        <w:spacing w:before="61" w:line="220" w:lineRule="auto"/>
        <w:ind w:left="423"/>
        <w:rPr>
          <w:rFonts w:ascii="宋体" w:hAnsi="宋体" w:cs="宋体"/>
        </w:rPr>
      </w:pPr>
      <w:r>
        <w:rPr>
          <w:rFonts w:hint="eastAsia" w:ascii="宋体" w:hAnsi="宋体" w:cs="宋体"/>
        </w:rPr>
        <w:t>——第4部分：水泥。目的在于为水泥产品生产许可现场评审工作确立规定评审的内容及要求。</w:t>
      </w:r>
    </w:p>
    <w:p w14:paraId="02A0C2D4">
      <w:pPr>
        <w:pStyle w:val="56"/>
        <w:ind w:firstLine="420"/>
      </w:pPr>
    </w:p>
    <w:p w14:paraId="0D8E21BB">
      <w:pPr>
        <w:pStyle w:val="56"/>
        <w:ind w:firstLine="420"/>
      </w:pPr>
    </w:p>
    <w:p w14:paraId="26D7CF16">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p>
    <w:bookmarkEnd w:id="17"/>
    <w:p w14:paraId="09192327">
      <w:pPr>
        <w:spacing w:line="20" w:lineRule="exact"/>
        <w:jc w:val="center"/>
        <w:rPr>
          <w:rFonts w:ascii="黑体" w:hAnsi="黑体" w:eastAsia="黑体"/>
          <w:sz w:val="32"/>
          <w:szCs w:val="32"/>
        </w:rPr>
      </w:pPr>
      <w:bookmarkStart w:id="18" w:name="BookMark4"/>
    </w:p>
    <w:p w14:paraId="22696029">
      <w:pPr>
        <w:spacing w:line="20" w:lineRule="exact"/>
        <w:jc w:val="center"/>
        <w:rPr>
          <w:rFonts w:ascii="黑体" w:hAnsi="黑体" w:eastAsia="黑体"/>
          <w:sz w:val="32"/>
          <w:szCs w:val="32"/>
        </w:rPr>
      </w:pPr>
    </w:p>
    <w:sdt>
      <w:sdtPr>
        <w:tag w:val="NEW_STAND_NAME"/>
        <w:id w:val="595910757"/>
        <w:lock w:val="sdtLocked"/>
        <w:placeholder>
          <w:docPart w:val="73C2B6DCF27840628D82D2C9B67B7B61"/>
        </w:placeholder>
      </w:sdtPr>
      <w:sdtContent>
        <w:p w14:paraId="6FCD1B02">
          <w:pPr>
            <w:pStyle w:val="177"/>
            <w:spacing w:beforeLines="100" w:afterLines="220"/>
          </w:pPr>
          <w:bookmarkStart w:id="19" w:name="NEW_STAND_NAME"/>
          <w:r>
            <w:rPr>
              <w:rFonts w:hint="eastAsia"/>
            </w:rPr>
            <w:t>工业产品生产许可现场评</w:t>
          </w:r>
          <w:r>
            <w:rPr>
              <w:rFonts w:hint="eastAsia"/>
              <w:lang w:val="en-US" w:eastAsia="zh-CN"/>
            </w:rPr>
            <w:t>审</w:t>
          </w:r>
          <w:r>
            <w:rPr>
              <w:rFonts w:hint="eastAsia"/>
            </w:rPr>
            <w:t>规范</w:t>
          </w:r>
          <w:r>
            <w:t xml:space="preserve"> 第2部分: 危险化学品     </w:t>
          </w:r>
        </w:p>
      </w:sdtContent>
    </w:sdt>
    <w:bookmarkEnd w:id="19"/>
    <w:p w14:paraId="4160CA6E">
      <w:pPr>
        <w:pStyle w:val="104"/>
        <w:spacing w:before="312" w:after="312"/>
      </w:pPr>
      <w:bookmarkStart w:id="20" w:name="_Toc26648465"/>
      <w:bookmarkStart w:id="21" w:name="_Toc26986771"/>
      <w:bookmarkStart w:id="22" w:name="_Toc26986530"/>
      <w:bookmarkStart w:id="23" w:name="_Toc24884211"/>
      <w:bookmarkStart w:id="24" w:name="_Toc26718930"/>
      <w:bookmarkStart w:id="25" w:name="_Toc17233333"/>
      <w:bookmarkStart w:id="26" w:name="_Toc24884218"/>
      <w:bookmarkStart w:id="27" w:name="_Toc17233325"/>
      <w:bookmarkStart w:id="28" w:name="_Toc97191423"/>
      <w:r>
        <w:rPr>
          <w:rFonts w:hint="eastAsia"/>
        </w:rPr>
        <w:t>范围</w:t>
      </w:r>
      <w:bookmarkEnd w:id="20"/>
      <w:bookmarkEnd w:id="21"/>
      <w:bookmarkEnd w:id="22"/>
      <w:bookmarkEnd w:id="23"/>
      <w:bookmarkEnd w:id="24"/>
      <w:bookmarkEnd w:id="25"/>
      <w:bookmarkEnd w:id="26"/>
      <w:bookmarkEnd w:id="27"/>
      <w:bookmarkEnd w:id="28"/>
    </w:p>
    <w:p w14:paraId="1D9D86C4">
      <w:pPr>
        <w:spacing w:before="64" w:line="247" w:lineRule="auto"/>
        <w:ind w:left="10" w:firstLine="421"/>
        <w:rPr>
          <w:rFonts w:ascii="宋体" w:hAnsi="宋体" w:cs="宋体"/>
          <w:spacing w:val="-1"/>
        </w:rPr>
      </w:pPr>
      <w:bookmarkStart w:id="29" w:name="_Toc24884219"/>
      <w:bookmarkStart w:id="30" w:name="_Toc26648466"/>
      <w:bookmarkStart w:id="31" w:name="_Toc17233334"/>
      <w:bookmarkStart w:id="32" w:name="_Toc17233326"/>
      <w:bookmarkStart w:id="33" w:name="_Toc24884212"/>
      <w:r>
        <w:rPr>
          <w:rFonts w:hint="eastAsia" w:ascii="宋体" w:hAnsi="宋体" w:cs="宋体"/>
          <w:spacing w:val="-1"/>
        </w:rPr>
        <w:t>本文件确立了危险化学品工业产品生产许可现场评审前需企业填写和准备的材料、现场评审工作流程、审查分工及评审指引、特别关注事项。</w:t>
      </w:r>
    </w:p>
    <w:p w14:paraId="133F9F38">
      <w:pPr>
        <w:spacing w:before="64" w:line="247" w:lineRule="auto"/>
        <w:ind w:left="10" w:firstLine="421"/>
        <w:rPr>
          <w:rFonts w:ascii="宋体" w:hAnsi="宋体" w:cs="宋体"/>
          <w:spacing w:val="-1"/>
        </w:rPr>
      </w:pPr>
      <w:r>
        <w:rPr>
          <w:rFonts w:hint="eastAsia" w:ascii="宋体" w:hAnsi="宋体" w:cs="宋体"/>
          <w:spacing w:val="-1"/>
        </w:rPr>
        <w:t>本文件适用于</w:t>
      </w:r>
      <w:r>
        <w:rPr>
          <w:rFonts w:hint="eastAsia" w:ascii="宋体" w:hAnsi="宋体" w:cs="宋体"/>
          <w:spacing w:val="-1"/>
          <w:lang w:eastAsia="zh-CN"/>
        </w:rPr>
        <w:t>国家市场监督管理总局</w:t>
      </w:r>
      <w:r>
        <w:rPr>
          <w:rFonts w:hint="eastAsia" w:ascii="宋体" w:hAnsi="宋体" w:cs="宋体"/>
          <w:spacing w:val="-1"/>
        </w:rPr>
        <w:t>公布实施的《危险化学品生产许可证实施细则》（危险化学品无机产品、危险化学品氯碱、危险化学品工业气体产品、危险化学品化学试剂、危险化学品有机产品、危险化学品石油产品，以下简称“《细则》”）6类产品单元、产品品种及发证范围。</w:t>
      </w:r>
    </w:p>
    <w:p w14:paraId="5BE9ABE7">
      <w:pPr>
        <w:pStyle w:val="104"/>
        <w:spacing w:before="312" w:after="312"/>
      </w:pPr>
      <w:bookmarkStart w:id="34" w:name="_Toc97191424"/>
      <w:bookmarkStart w:id="35" w:name="_Toc26986772"/>
      <w:bookmarkStart w:id="36" w:name="_Toc26986531"/>
      <w:bookmarkStart w:id="37" w:name="_Toc26718931"/>
      <w:r>
        <w:rPr>
          <w:rFonts w:hint="eastAsia"/>
        </w:rPr>
        <w:t>规范性引用文件</w:t>
      </w:r>
      <w:bookmarkEnd w:id="29"/>
      <w:bookmarkEnd w:id="30"/>
      <w:bookmarkEnd w:id="31"/>
      <w:bookmarkEnd w:id="32"/>
      <w:bookmarkEnd w:id="33"/>
      <w:bookmarkEnd w:id="34"/>
      <w:bookmarkEnd w:id="35"/>
      <w:bookmarkEnd w:id="36"/>
      <w:bookmarkEnd w:id="37"/>
    </w:p>
    <w:sdt>
      <w:sdtPr>
        <w:rPr>
          <w:rFonts w:hint="eastAsia"/>
        </w:rPr>
        <w:id w:val="715848253"/>
        <w:placeholder>
          <w:docPart w:val="010A26C14DE54DCBA1C0F554B7557E6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DA05C69">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A2A8F75">
      <w:pPr>
        <w:pStyle w:val="56"/>
        <w:ind w:firstLine="420"/>
      </w:pPr>
      <w:r>
        <w:rPr>
          <w:rFonts w:hint="eastAsia"/>
        </w:rPr>
        <w:t>DB34/T 4688.1-2024 工业产品生产许可现场评审规范 第 1 部分：总则</w:t>
      </w:r>
    </w:p>
    <w:p w14:paraId="68885713">
      <w:pPr>
        <w:pStyle w:val="56"/>
        <w:ind w:firstLine="420"/>
      </w:pPr>
      <w:r>
        <w:rPr>
          <w:rFonts w:hint="eastAsia"/>
        </w:rPr>
        <w:t>危险化学品生产许可证实施细则（一）（危险化学品无机产品部分）</w:t>
      </w:r>
    </w:p>
    <w:p w14:paraId="4437CC32">
      <w:pPr>
        <w:pStyle w:val="56"/>
        <w:ind w:firstLine="420"/>
      </w:pPr>
      <w:r>
        <w:rPr>
          <w:rFonts w:hint="eastAsia"/>
        </w:rPr>
        <w:t>危险化学品生产许可证实施细则（二）（危险化学品氯碱产品部分）</w:t>
      </w:r>
    </w:p>
    <w:p w14:paraId="6315BCC4">
      <w:pPr>
        <w:pStyle w:val="56"/>
        <w:ind w:firstLine="420"/>
      </w:pPr>
      <w:r>
        <w:rPr>
          <w:rFonts w:hint="eastAsia"/>
        </w:rPr>
        <w:t>危险化学品生产许可证实施细则（三）（危险化学品工业气体产品部分）</w:t>
      </w:r>
    </w:p>
    <w:p w14:paraId="4455C85D">
      <w:pPr>
        <w:pStyle w:val="56"/>
        <w:ind w:firstLine="420"/>
      </w:pPr>
      <w:r>
        <w:rPr>
          <w:rFonts w:hint="eastAsia"/>
        </w:rPr>
        <w:t>危险化学品生产许可证实施细则（四）（危险化学品化学试剂产品部分）</w:t>
      </w:r>
    </w:p>
    <w:p w14:paraId="0E660568">
      <w:pPr>
        <w:pStyle w:val="56"/>
        <w:ind w:firstLine="420"/>
      </w:pPr>
      <w:r>
        <w:rPr>
          <w:rFonts w:hint="eastAsia"/>
        </w:rPr>
        <w:t>危险化学品生产许可证实施细则（五）（危险化学品有机产品部分）</w:t>
      </w:r>
    </w:p>
    <w:p w14:paraId="4EAF7C1F">
      <w:pPr>
        <w:pStyle w:val="56"/>
        <w:ind w:firstLine="420"/>
      </w:pPr>
      <w:r>
        <w:rPr>
          <w:rFonts w:hint="eastAsia"/>
        </w:rPr>
        <w:t>危险化学品生产许可证实施细则（六）（危险化学品石油产品部分）</w:t>
      </w:r>
    </w:p>
    <w:p w14:paraId="3EB01CB5">
      <w:pPr>
        <w:pStyle w:val="104"/>
        <w:spacing w:before="312" w:after="312"/>
      </w:pPr>
      <w:bookmarkStart w:id="38" w:name="_Toc97191425"/>
      <w:r>
        <w:rPr>
          <w:rFonts w:hint="eastAsia"/>
          <w:szCs w:val="21"/>
        </w:rPr>
        <w:t>术语和定义</w:t>
      </w:r>
      <w:bookmarkEnd w:id="38"/>
    </w:p>
    <w:sdt>
      <w:sdtPr>
        <w:id w:val="-1909835108"/>
        <w:placeholder>
          <w:docPart w:val="8F4B02BB3B16491A99AB1CA68D5A54F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C8A0317">
          <w:pPr>
            <w:pStyle w:val="56"/>
            <w:ind w:firstLine="420"/>
          </w:pPr>
          <w:bookmarkStart w:id="39" w:name="_Toc26986532"/>
          <w:bookmarkEnd w:id="39"/>
          <w:r>
            <w:t>下列术语和定义适用于本文件。</w:t>
          </w:r>
        </w:p>
      </w:sdtContent>
    </w:sdt>
    <w:p w14:paraId="56BEDA58">
      <w:pPr>
        <w:pStyle w:val="223"/>
        <w:ind w:left="420" w:hanging="420" w:hangingChars="200"/>
        <w:rPr>
          <w:b/>
          <w:bCs/>
          <w:spacing w:val="-3"/>
          <w:position w:val="-19"/>
          <w:szCs w:val="21"/>
        </w:rPr>
      </w:pPr>
      <w:r>
        <w:rPr>
          <w:rFonts w:ascii="黑体" w:hAnsi="黑体" w:eastAsia="黑体"/>
        </w:rPr>
        <w:br w:type="textWrapping"/>
      </w:r>
      <w:r>
        <w:rPr>
          <w:rFonts w:hint="eastAsia"/>
          <w:b/>
          <w:bCs/>
          <w:spacing w:val="-3"/>
          <w:position w:val="-19"/>
          <w:szCs w:val="21"/>
        </w:rPr>
        <w:t>危险化学品hazardous chemicals</w:t>
      </w:r>
    </w:p>
    <w:p w14:paraId="3C4AEE33">
      <w:pPr>
        <w:spacing w:before="64" w:line="247" w:lineRule="auto"/>
        <w:ind w:left="10" w:firstLine="421"/>
        <w:rPr>
          <w:rFonts w:ascii="宋体" w:hAnsi="宋体" w:cs="宋体"/>
          <w:spacing w:val="-1"/>
        </w:rPr>
      </w:pPr>
      <w:r>
        <w:rPr>
          <w:rFonts w:hint="eastAsia" w:ascii="宋体" w:hAnsi="宋体" w:cs="宋体"/>
          <w:spacing w:val="-1"/>
        </w:rPr>
        <w:t>具有毒害、腐蚀、爆炸、燃烧、助燃等性质，对人体、设施、环境具有危害的剧毒化学品和其他化学品。</w:t>
      </w:r>
    </w:p>
    <w:p w14:paraId="07201C0A">
      <w:pPr>
        <w:pStyle w:val="104"/>
        <w:spacing w:before="312" w:after="312"/>
        <w:rPr>
          <w:spacing w:val="-2"/>
          <w:szCs w:val="21"/>
        </w:rPr>
      </w:pPr>
      <w:r>
        <w:rPr>
          <w:spacing w:val="-2"/>
          <w:szCs w:val="21"/>
        </w:rPr>
        <w:t>现场评审</w:t>
      </w:r>
      <w:r>
        <w:rPr>
          <w:rFonts w:hint="eastAsia"/>
          <w:spacing w:val="-2"/>
          <w:szCs w:val="21"/>
        </w:rPr>
        <w:t>前的准备工作（以危险化学品无机产品为例）</w:t>
      </w:r>
    </w:p>
    <w:p w14:paraId="026CC829">
      <w:pPr>
        <w:pStyle w:val="162"/>
      </w:pPr>
      <w:r>
        <w:rPr>
          <w:rFonts w:hint="eastAsia"/>
        </w:rPr>
        <w:t>评审组长在接到《全国工业产品生产许可证企业实地核查任务书》后，发放组员和企业联系人，要求组员提前熟悉《细则》、产品和检验方法标准、生产工艺。</w:t>
      </w:r>
    </w:p>
    <w:p w14:paraId="775D6AF5">
      <w:pPr>
        <w:pStyle w:val="162"/>
        <w:numPr>
          <w:ilvl w:val="0"/>
          <w:numId w:val="0"/>
        </w:numPr>
      </w:pPr>
    </w:p>
    <w:p w14:paraId="2BDBE1E9">
      <w:pPr>
        <w:pStyle w:val="162"/>
      </w:pPr>
      <w:r>
        <w:rPr>
          <w:rFonts w:hint="eastAsia"/>
        </w:rPr>
        <w:t>企业应组织各相关部门熟悉《细则》内容，结合本公司申报产品实际情况，如实填写《附件2企业核查时准备书面材料清单》的5张附表。具体要求如下：</w:t>
      </w:r>
    </w:p>
    <w:p w14:paraId="5F5B20F1">
      <w:pPr>
        <w:pStyle w:val="165"/>
        <w:numPr>
          <w:ilvl w:val="0"/>
          <w:numId w:val="0"/>
        </w:numPr>
        <w:ind w:left="1276"/>
      </w:pPr>
    </w:p>
    <w:p w14:paraId="25CD1ADA">
      <w:pPr>
        <w:pStyle w:val="65"/>
        <w:spacing w:before="156" w:after="156"/>
        <w:rPr>
          <w:rFonts w:ascii="宋体" w:hAnsi="宋体" w:eastAsia="宋体" w:cs="宋体"/>
        </w:rPr>
      </w:pPr>
      <w:r>
        <w:rPr>
          <w:rFonts w:hint="eastAsia" w:ascii="宋体" w:hAnsi="宋体" w:eastAsia="宋体" w:cs="宋体"/>
        </w:rPr>
        <w:t>《附件2-1：企业生产危险化学品无机产品生产设施和生产设备表》：应对照《细则》中《表3-1：企业生产危险化学品无机产品应具备的生产设施及设施要求》和《表3-2：企业生产危险化学品无机产品应具备的生产设备》，结合被评审单位申报产品生产设施和设备实际配置情况填写，原则上填写的设施设备必须覆盖《细则》所列设施设备，如为非典型工艺，须注明。</w:t>
      </w:r>
    </w:p>
    <w:p w14:paraId="7238A246">
      <w:pPr>
        <w:pStyle w:val="65"/>
        <w:spacing w:before="156" w:after="156"/>
        <w:rPr>
          <w:rFonts w:ascii="宋体" w:hAnsi="宋体" w:eastAsia="宋体" w:cs="宋体"/>
        </w:rPr>
      </w:pPr>
      <w:r>
        <w:rPr>
          <w:rFonts w:hint="eastAsia" w:ascii="宋体" w:hAnsi="宋体" w:eastAsia="宋体" w:cs="宋体"/>
        </w:rPr>
        <w:t>《附件2-2企业生产危险化学品无机产品生产场所示意图》：所列生产场所示意图应能识别所处位置（如标明周边纵横道路名称及距离等）。</w:t>
      </w:r>
    </w:p>
    <w:p w14:paraId="5FBF3AD4">
      <w:pPr>
        <w:pStyle w:val="65"/>
        <w:spacing w:before="156" w:after="156"/>
        <w:rPr>
          <w:rFonts w:ascii="宋体" w:hAnsi="宋体" w:eastAsia="宋体"/>
        </w:rPr>
      </w:pPr>
      <w:r>
        <w:rPr>
          <w:rFonts w:hint="eastAsia" w:ascii="宋体" w:hAnsi="宋体" w:eastAsia="宋体"/>
        </w:rPr>
        <w:t>《附件2-3企业生产危险化学品无机产品检验设施和检验设备表》：对照《细则》《表3-3  企业生产危险化学品无机产品应具备的检验设施及设施要求》《表3-4  企业生产危险化学品无机产品应具备的检验设备及设备要求》，结合被审查单位申报产品实际情况填写，原则上填写的设施设备必须覆盖《细则》所列设施设备。</w:t>
      </w:r>
    </w:p>
    <w:p w14:paraId="7E628DFA">
      <w:pPr>
        <w:pStyle w:val="65"/>
        <w:spacing w:before="156" w:after="156"/>
        <w:rPr>
          <w:rFonts w:ascii="宋体" w:hAnsi="宋体" w:eastAsia="宋体"/>
        </w:rPr>
      </w:pPr>
      <w:r>
        <w:rPr>
          <w:rFonts w:hint="eastAsia" w:ascii="宋体" w:hAnsi="宋体" w:eastAsia="宋体"/>
        </w:rPr>
        <w:t>《附件2-4主要管理人员、检验人员表和专业技术人员表》：最高管理者、质量负责人、技术人员、检验人员、关键工序操作工、申请联系人等人员均应列入此表。如遇规上企业，仅需列出与申请产品生产有关的（或现场评审时当班的）管理和生产及检验人员信息，方便现场评审时对照考核。</w:t>
      </w:r>
    </w:p>
    <w:p w14:paraId="5370A97E">
      <w:pPr>
        <w:pStyle w:val="65"/>
        <w:spacing w:before="156" w:after="156"/>
        <w:rPr>
          <w:rFonts w:ascii="宋体" w:hAnsi="宋体" w:eastAsia="宋体"/>
        </w:rPr>
      </w:pPr>
      <w:r>
        <w:rPr>
          <w:rFonts w:hint="eastAsia" w:ascii="宋体" w:hAnsi="宋体" w:eastAsia="宋体"/>
        </w:rPr>
        <w:t>《附件2-5 企业生产危险化学品无机产品主要工艺流程图》：应把主要工序以文字+方框的形式表述，上下工序以箭头连接，两头连接原料和成品（仅需用文字表述，无需加方框），同时标注关键工序/关键质量控制点（如用★）。应注意工艺流程图不是设备连接图，切记繁琐。</w:t>
      </w:r>
    </w:p>
    <w:p w14:paraId="350F4EE0">
      <w:pPr>
        <w:pStyle w:val="105"/>
        <w:spacing w:before="156" w:after="156"/>
        <w:rPr>
          <w:rFonts w:ascii="宋体" w:hAnsi="宋体" w:eastAsia="宋体"/>
        </w:rPr>
      </w:pPr>
      <w:r>
        <w:rPr>
          <w:rFonts w:hint="eastAsia" w:ascii="宋体" w:hAnsi="宋体" w:eastAsia="宋体"/>
        </w:rPr>
        <w:t>上述表格应在现场评审开始3天前发送电子版给评审组审核，如有问题，评审组与企业应充分沟通，确保填写信息完整正确。在现场评审时打印1份，由单位负责人及评审组成员签字，加盖企业公章，现场评审时由评审组长拍照上传审批许可系统中的审批核查模块（以下简称“ZAPP”）。</w:t>
      </w:r>
    </w:p>
    <w:p w14:paraId="75BF45F8">
      <w:pPr>
        <w:pStyle w:val="105"/>
        <w:spacing w:before="156" w:after="156"/>
        <w:rPr>
          <w:rFonts w:ascii="宋体" w:hAnsi="宋体" w:eastAsia="宋体"/>
        </w:rPr>
      </w:pPr>
      <w:r>
        <w:rPr>
          <w:rFonts w:hint="eastAsia" w:ascii="宋体" w:hAnsi="宋体" w:eastAsia="宋体"/>
        </w:rPr>
        <w:t>评审组应充分重视对《附件2企业核查时准备书面材料清单》附表的审核，从企业填写内容可以看出其对《细则》是否熟悉，是否能正确绘制工艺流程图，是否清楚企业生产工艺是否为典型工艺，各关键岗位人员是否设置、数量是否充足、岗位职责是否清晰，生产和检验设施设备是否配备完整。特别是检验设备，除了要符合《细则》罗列设备外，还应根据企业实际采用的检验方法标准，检查是否正确配备采样、制样和检验等设备。</w:t>
      </w:r>
    </w:p>
    <w:p w14:paraId="0B6588FA">
      <w:pPr>
        <w:pStyle w:val="105"/>
        <w:spacing w:before="156" w:after="156"/>
        <w:rPr>
          <w:rFonts w:ascii="宋体" w:hAnsi="宋体" w:eastAsia="宋体"/>
        </w:rPr>
      </w:pPr>
      <w:r>
        <w:rPr>
          <w:rFonts w:hint="eastAsia" w:ascii="宋体" w:hAnsi="宋体" w:eastAsia="宋体"/>
        </w:rPr>
        <w:t>评审组可让企业按照《细则》的《附件3：危险化学品无机产品生产许可证企业实地核查办法》（以下简称“《办法》”）所列核查内容（5大部分17条24款），提前组织各相关部门对照条款逐条自查，并准备相关材料。包括但不仅限于：相关制度和体系文件、作业指导书及操作规程等、各类计划和实施及验证记录、生产记录、检验记录、更改审批单、检验报告、人员证书、营业执照、安全生产许可证、排污许可证、设备采购合同及发票/或能证明设备自有相关材料等。注：以上所列材料不能超出本《办法》要求。</w:t>
      </w:r>
    </w:p>
    <w:p w14:paraId="428DB147">
      <w:pPr>
        <w:pStyle w:val="105"/>
        <w:spacing w:before="156" w:after="156"/>
        <w:rPr>
          <w:rFonts w:ascii="宋体" w:hAnsi="宋体" w:eastAsia="宋体"/>
        </w:rPr>
      </w:pPr>
      <w:r>
        <w:rPr>
          <w:rFonts w:hint="eastAsia" w:ascii="宋体" w:hAnsi="宋体" w:eastAsia="宋体"/>
        </w:rPr>
        <w:t>现场评审前，企业需在会议室配备打印机、接线板、回形针、长尾夹、WIFI等办公用品。现场评审时，需在签到表、《附件4：企业实地核查不符合和建议改进条款汇总表》、《附件5：生产许可证企业实地核查报告》等处加盖企业公章。</w:t>
      </w:r>
    </w:p>
    <w:p w14:paraId="5D0668AF">
      <w:pPr>
        <w:pStyle w:val="104"/>
        <w:spacing w:before="312" w:after="312"/>
      </w:pPr>
      <w:r>
        <w:rPr>
          <w:rFonts w:hint="eastAsia"/>
        </w:rPr>
        <w:t>现场评审工作流程</w:t>
      </w:r>
    </w:p>
    <w:p w14:paraId="297FFED1">
      <w:pPr>
        <w:pStyle w:val="105"/>
        <w:spacing w:before="156" w:after="156"/>
        <w:rPr>
          <w:rFonts w:ascii="宋体" w:hAnsi="宋体" w:eastAsia="宋体"/>
        </w:rPr>
      </w:pPr>
      <w:r>
        <w:rPr>
          <w:rFonts w:hint="eastAsia" w:ascii="宋体" w:hAnsi="宋体" w:eastAsia="宋体"/>
        </w:rPr>
        <w:t>现场评审工作流程按《工业产品生产许可现场评审规范 第 1 部分：总则》DB34/T 4688.1-2024 第5章要求执行，具体要求按第6章至第11章执行。</w:t>
      </w:r>
    </w:p>
    <w:p w14:paraId="1893F060">
      <w:pPr>
        <w:pStyle w:val="105"/>
        <w:spacing w:before="156" w:after="156"/>
        <w:rPr>
          <w:rFonts w:ascii="宋体" w:hAnsi="宋体" w:eastAsia="宋体"/>
        </w:rPr>
      </w:pPr>
      <w:r>
        <w:rPr>
          <w:rFonts w:hint="eastAsia" w:ascii="宋体" w:hAnsi="宋体" w:eastAsia="宋体"/>
        </w:rPr>
        <w:t>现场评审拍照地点及参加人员</w:t>
      </w:r>
    </w:p>
    <w:p w14:paraId="0F3D49A7">
      <w:pPr>
        <w:pStyle w:val="65"/>
        <w:spacing w:before="156" w:after="156"/>
        <w:rPr>
          <w:rFonts w:ascii="宋体" w:hAnsi="宋体" w:eastAsia="宋体"/>
        </w:rPr>
      </w:pPr>
      <w:r>
        <w:rPr>
          <w:rFonts w:hint="eastAsia" w:ascii="宋体" w:hAnsi="宋体" w:eastAsia="宋体"/>
        </w:rPr>
        <w:t>企业大门处：企业负责人、评审组、观察员合影，照片内容应包含企业大门处的企业名称。</w:t>
      </w:r>
    </w:p>
    <w:p w14:paraId="48B0F97E">
      <w:pPr>
        <w:pStyle w:val="65"/>
        <w:spacing w:before="156" w:after="156"/>
        <w:rPr>
          <w:rFonts w:ascii="宋体" w:hAnsi="宋体" w:eastAsia="宋体"/>
        </w:rPr>
      </w:pPr>
      <w:r>
        <w:rPr>
          <w:rFonts w:hint="eastAsia" w:ascii="宋体" w:hAnsi="宋体" w:eastAsia="宋体"/>
        </w:rPr>
        <w:t>会议室（首次会议）：企业负责人、各部门负责人、审查组成员、观察员合影。</w:t>
      </w:r>
    </w:p>
    <w:p w14:paraId="62FF916D">
      <w:pPr>
        <w:pStyle w:val="65"/>
        <w:spacing w:before="156" w:after="156"/>
        <w:rPr>
          <w:rFonts w:ascii="宋体" w:hAnsi="宋体" w:eastAsia="宋体"/>
        </w:rPr>
      </w:pPr>
      <w:r>
        <w:rPr>
          <w:rFonts w:hint="eastAsia" w:ascii="宋体" w:hAnsi="宋体" w:eastAsia="宋体"/>
        </w:rPr>
        <w:t>会议室大门处：企业负责人与评审组长合影，照片内容应包含在会议室大门张贴的《公示》。</w:t>
      </w:r>
    </w:p>
    <w:p w14:paraId="02BABA9B">
      <w:pPr>
        <w:pStyle w:val="65"/>
        <w:spacing w:before="156" w:after="156"/>
        <w:rPr>
          <w:rFonts w:ascii="宋体" w:hAnsi="宋体" w:eastAsia="宋体"/>
        </w:rPr>
      </w:pPr>
      <w:r>
        <w:rPr>
          <w:rFonts w:hint="eastAsia" w:ascii="宋体" w:hAnsi="宋体" w:eastAsia="宋体"/>
        </w:rPr>
        <w:t>生产及检验设施设备：负责细则《办法》第3章现场评审的评审员及企业配合现场拍照的设备管理员</w:t>
      </w:r>
      <w:r>
        <w:rPr>
          <w:rFonts w:hint="eastAsia" w:ascii="宋体" w:hAnsi="宋体" w:eastAsia="宋体"/>
          <w:lang w:eastAsia="zh-CN"/>
        </w:rPr>
        <w:t>等</w:t>
      </w:r>
      <w:r>
        <w:rPr>
          <w:rFonts w:hint="eastAsia" w:ascii="宋体" w:hAnsi="宋体" w:eastAsia="宋体"/>
        </w:rPr>
        <w:t>。拍照可按工艺流程顺序，本着就近就便的原则，要对申请产品生产所涉及的生产和检验设施设备、原料及成品储罐/库拍照。</w:t>
      </w:r>
    </w:p>
    <w:p w14:paraId="7658B404">
      <w:pPr>
        <w:pStyle w:val="65"/>
        <w:spacing w:before="156" w:after="156"/>
        <w:rPr>
          <w:rFonts w:ascii="宋体" w:hAnsi="宋体" w:eastAsia="宋体"/>
        </w:rPr>
      </w:pPr>
      <w:r>
        <w:rPr>
          <w:rFonts w:hint="eastAsia" w:ascii="宋体" w:hAnsi="宋体" w:eastAsia="宋体"/>
        </w:rPr>
        <w:t>会议室：负责细则《办法》第1、2、4、5章现场评审的评审员，及企业负责人、生产技术及质量管理部门负责人、生产车间负责人、化验室负责人及申请产品检验人员，对《办法》章节条款涉及的要求进行材料审查，需要对企业提供的证据材料进行拍照。</w:t>
      </w:r>
    </w:p>
    <w:p w14:paraId="4CFAF85F">
      <w:pPr>
        <w:pStyle w:val="65"/>
        <w:spacing w:before="156" w:after="156"/>
        <w:rPr>
          <w:rFonts w:ascii="宋体" w:hAnsi="宋体" w:eastAsia="宋体"/>
        </w:rPr>
      </w:pPr>
      <w:r>
        <w:rPr>
          <w:rFonts w:hint="eastAsia" w:ascii="宋体" w:hAnsi="宋体" w:eastAsia="宋体"/>
        </w:rPr>
        <w:t>会议室（末次会议）：企业负责人、各部门负责人、审查组成员、观察员合影。</w:t>
      </w:r>
    </w:p>
    <w:p w14:paraId="3B855D68">
      <w:pPr>
        <w:pStyle w:val="104"/>
        <w:spacing w:before="312" w:after="312"/>
      </w:pPr>
      <w:r>
        <w:rPr>
          <w:rFonts w:hint="eastAsia"/>
        </w:rPr>
        <w:t>审查分工及评审指引（以危险化学品无机产品为例）</w:t>
      </w:r>
    </w:p>
    <w:p w14:paraId="3D5A8940">
      <w:pPr>
        <w:pStyle w:val="105"/>
        <w:spacing w:before="156" w:after="156"/>
        <w:rPr>
          <w:rFonts w:ascii="宋体" w:hAnsi="宋体" w:eastAsia="宋体"/>
        </w:rPr>
      </w:pPr>
      <w:r>
        <w:rPr>
          <w:rFonts w:hint="eastAsia" w:ascii="宋体" w:hAnsi="宋体" w:eastAsia="宋体"/>
        </w:rPr>
        <w:t>评审组长接到评审任务通知，应根据评审员年龄、健康和专业特点、企业申请产品生产工艺、《办法</w:t>
      </w:r>
      <w:r>
        <w:rPr>
          <w:rFonts w:hint="eastAsia" w:ascii="宋体" w:hAnsi="宋体" w:eastAsia="宋体"/>
          <w:lang w:eastAsia="zh-CN"/>
        </w:rPr>
        <w:t>》第</w:t>
      </w:r>
      <w:r>
        <w:rPr>
          <w:rFonts w:hint="eastAsia" w:ascii="宋体" w:hAnsi="宋体" w:eastAsia="宋体"/>
        </w:rPr>
        <w:t>5章内容的相关性等，本着“公平公正、科学高效”的原则开展审查分工，并与组员沟通和确认。</w:t>
      </w:r>
    </w:p>
    <w:p w14:paraId="3CEE777E">
      <w:pPr>
        <w:pStyle w:val="105"/>
        <w:spacing w:before="156" w:after="156"/>
        <w:rPr>
          <w:rFonts w:ascii="宋体" w:hAnsi="宋体" w:eastAsia="宋体"/>
        </w:rPr>
      </w:pPr>
      <w:r>
        <w:rPr>
          <w:rFonts w:hint="eastAsia" w:ascii="宋体" w:hAnsi="宋体" w:eastAsia="宋体"/>
        </w:rPr>
        <w:t>现场评审活动应遵循“组长负责制”，评审组长对于产品执行国家产业政策证明文件、关键岗位人员能力、技术文件的正确性和完整性、生产和检验设备的完好性等应全面正确掌握外，各评审员之间应相互帮助、相互补台。对于其他评审员没有发现的系统性、区域性或者性质严重问题的，应做到提醒义务；对于设备配备、单项核查结论等无法明确的，应主动与评审组其他成员及时沟通，统一尺度，确保现场评审的客观公正性。</w:t>
      </w:r>
    </w:p>
    <w:p w14:paraId="52140B0E">
      <w:pPr>
        <w:pStyle w:val="105"/>
        <w:spacing w:before="156" w:after="156"/>
        <w:rPr>
          <w:rFonts w:ascii="宋体" w:hAnsi="宋体" w:eastAsia="宋体"/>
        </w:rPr>
      </w:pPr>
      <w:r>
        <w:rPr>
          <w:rFonts w:hint="eastAsia" w:ascii="宋体" w:hAnsi="宋体" w:eastAsia="宋体"/>
        </w:rPr>
        <w:t>《生产许可证企业实地核查办法》现场评审指引</w:t>
      </w:r>
    </w:p>
    <w:p w14:paraId="789045AF">
      <w:pPr>
        <w:pStyle w:val="105"/>
        <w:numPr>
          <w:ilvl w:val="0"/>
          <w:numId w:val="0"/>
        </w:numPr>
        <w:spacing w:before="156" w:after="156"/>
        <w:ind w:firstLine="420" w:firstLineChars="200"/>
        <w:rPr>
          <w:rFonts w:ascii="宋体" w:hAnsi="宋体" w:eastAsia="宋体"/>
        </w:rPr>
      </w:pPr>
      <w:r>
        <w:rPr>
          <w:rFonts w:hint="eastAsia" w:ascii="宋体" w:hAnsi="宋体" w:eastAsia="宋体"/>
        </w:rPr>
        <w:t>详见附录A（资料性）。</w:t>
      </w:r>
    </w:p>
    <w:p w14:paraId="28B86BE2">
      <w:pPr>
        <w:pStyle w:val="104"/>
        <w:spacing w:before="312" w:after="312"/>
      </w:pPr>
      <w:r>
        <w:rPr>
          <w:rFonts w:hint="eastAsia"/>
        </w:rPr>
        <w:t>特别关注事项</w:t>
      </w:r>
    </w:p>
    <w:p w14:paraId="00BDB778">
      <w:pPr>
        <w:pStyle w:val="162"/>
      </w:pPr>
      <w:r>
        <w:rPr>
          <w:rFonts w:hint="eastAsia" w:hAnsi="宋体" w:cs="宋体"/>
          <w:spacing w:val="-1"/>
        </w:rPr>
        <w:t>现场必须开机生产。如现场没有开机生产，则审查结论不合格。</w:t>
      </w:r>
    </w:p>
    <w:p w14:paraId="1346DAA1">
      <w:pPr>
        <w:pStyle w:val="162"/>
        <w:numPr>
          <w:ilvl w:val="0"/>
          <w:numId w:val="0"/>
        </w:numPr>
      </w:pPr>
    </w:p>
    <w:p w14:paraId="50C915F0">
      <w:pPr>
        <w:pStyle w:val="162"/>
      </w:pPr>
      <w:r>
        <w:rPr>
          <w:rFonts w:hint="eastAsia"/>
        </w:rPr>
        <w:t>如涉及防爆要求，如何拍照要有应对之策，原则上要使用审查员的手机现场</w:t>
      </w:r>
      <w:r>
        <w:rPr>
          <w:rFonts w:hint="eastAsia"/>
          <w:lang w:eastAsia="zh-CN"/>
        </w:rPr>
        <w:t>实时</w:t>
      </w:r>
      <w:r>
        <w:rPr>
          <w:rFonts w:hint="eastAsia"/>
        </w:rPr>
        <w:t>拍照并上传，不能后补。</w:t>
      </w:r>
    </w:p>
    <w:p w14:paraId="16E17D57">
      <w:pPr>
        <w:pStyle w:val="105"/>
        <w:spacing w:before="156" w:after="156"/>
        <w:rPr>
          <w:rFonts w:ascii="宋体" w:hAnsi="宋体" w:eastAsia="宋体"/>
        </w:rPr>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pPr>
      <w:r>
        <w:rPr>
          <w:rFonts w:hint="eastAsia" w:ascii="宋体" w:hAnsi="宋体" w:eastAsia="宋体"/>
        </w:rPr>
        <w:t>企业现场提供的各类材料必须真实有效，反应企业的实际生产质量控制情况，以便审查员做出公正客观的评价。</w:t>
      </w:r>
    </w:p>
    <w:bookmarkEnd w:id="18"/>
    <w:p w14:paraId="11074023">
      <w:pPr>
        <w:pStyle w:val="198"/>
        <w:numPr>
          <w:ilvl w:val="0"/>
          <w:numId w:val="0"/>
        </w:numPr>
        <w:jc w:val="both"/>
        <w:rPr>
          <w:vanish w:val="0"/>
        </w:rPr>
      </w:pPr>
      <w:bookmarkStart w:id="40" w:name="BookMark5"/>
    </w:p>
    <w:p w14:paraId="7A256D2A">
      <w:pPr>
        <w:pStyle w:val="199"/>
        <w:rPr>
          <w:vanish w:val="0"/>
        </w:rPr>
      </w:pPr>
    </w:p>
    <w:p w14:paraId="677DB0C9">
      <w:pPr>
        <w:pStyle w:val="76"/>
        <w:spacing w:after="156"/>
      </w:pPr>
      <w:r>
        <w:br w:type="textWrapping"/>
      </w:r>
      <w:r>
        <w:rPr>
          <w:rFonts w:hint="eastAsia"/>
        </w:rPr>
        <w:t>（资料性）</w:t>
      </w:r>
      <w:r>
        <w:br w:type="textWrapping"/>
      </w:r>
      <w:r>
        <w:rPr>
          <w:rFonts w:hint="eastAsia"/>
        </w:rPr>
        <w:t>《生产许可证企业实地核查检查办法》现场评审指引</w:t>
      </w:r>
    </w:p>
    <w:tbl>
      <w:tblPr>
        <w:tblStyle w:val="26"/>
        <w:tblpPr w:leftFromText="180" w:rightFromText="180" w:vertAnchor="text" w:horzAnchor="margin" w:tblpXSpec="center" w:tblpY="711"/>
        <w:tblW w:w="1392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42" w:type="dxa"/>
          <w:bottom w:w="0" w:type="dxa"/>
          <w:right w:w="42" w:type="dxa"/>
        </w:tblCellMar>
      </w:tblPr>
      <w:tblGrid>
        <w:gridCol w:w="743"/>
        <w:gridCol w:w="689"/>
        <w:gridCol w:w="13"/>
        <w:gridCol w:w="4534"/>
        <w:gridCol w:w="2677"/>
        <w:gridCol w:w="5269"/>
      </w:tblGrid>
      <w:tr w14:paraId="594B98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42" w:type="dxa"/>
            <w:bottom w:w="0" w:type="dxa"/>
            <w:right w:w="42" w:type="dxa"/>
          </w:tblCellMar>
        </w:tblPrEx>
        <w:trPr>
          <w:cantSplit/>
          <w:trHeight w:val="550" w:hRule="atLeast"/>
          <w:tblHeader/>
          <w:jc w:val="center"/>
        </w:trPr>
        <w:tc>
          <w:tcPr>
            <w:tcW w:w="743" w:type="dxa"/>
            <w:shd w:val="clear" w:color="auto" w:fill="auto"/>
            <w:noWrap/>
            <w:vAlign w:val="center"/>
          </w:tcPr>
          <w:p w14:paraId="29073F14">
            <w:pPr>
              <w:snapToGrid w:val="0"/>
              <w:spacing w:line="240" w:lineRule="auto"/>
              <w:jc w:val="center"/>
              <w:rPr>
                <w:rFonts w:ascii="宋体" w:hAnsi="宋体"/>
                <w:b/>
                <w:bCs/>
              </w:rPr>
            </w:pPr>
            <w:r>
              <w:rPr>
                <w:rFonts w:hint="eastAsia" w:ascii="宋体" w:hAnsi="宋体"/>
                <w:b/>
                <w:bCs/>
              </w:rPr>
              <w:t>序号</w:t>
            </w:r>
          </w:p>
        </w:tc>
        <w:tc>
          <w:tcPr>
            <w:tcW w:w="689" w:type="dxa"/>
            <w:shd w:val="clear" w:color="auto" w:fill="auto"/>
            <w:noWrap/>
            <w:vAlign w:val="center"/>
          </w:tcPr>
          <w:p w14:paraId="75DE1EEE">
            <w:pPr>
              <w:snapToGrid w:val="0"/>
              <w:spacing w:line="240" w:lineRule="auto"/>
              <w:jc w:val="center"/>
              <w:rPr>
                <w:rFonts w:ascii="宋体" w:hAnsi="宋体"/>
                <w:b/>
                <w:bCs/>
              </w:rPr>
            </w:pPr>
            <w:r>
              <w:rPr>
                <w:rFonts w:hint="eastAsia" w:ascii="宋体" w:hAnsi="宋体"/>
                <w:b/>
                <w:bCs/>
              </w:rPr>
              <w:t>核查</w:t>
            </w:r>
          </w:p>
          <w:p w14:paraId="6CE58418">
            <w:pPr>
              <w:snapToGrid w:val="0"/>
              <w:spacing w:line="240" w:lineRule="auto"/>
              <w:jc w:val="center"/>
              <w:rPr>
                <w:rFonts w:ascii="宋体" w:hAnsi="宋体"/>
                <w:b/>
                <w:bCs/>
              </w:rPr>
            </w:pPr>
            <w:r>
              <w:rPr>
                <w:rFonts w:hint="eastAsia" w:ascii="宋体" w:hAnsi="宋体"/>
                <w:b/>
                <w:bCs/>
              </w:rPr>
              <w:t>项目</w:t>
            </w:r>
          </w:p>
        </w:tc>
        <w:tc>
          <w:tcPr>
            <w:tcW w:w="4547" w:type="dxa"/>
            <w:gridSpan w:val="2"/>
            <w:shd w:val="clear" w:color="auto" w:fill="auto"/>
            <w:noWrap/>
            <w:vAlign w:val="center"/>
          </w:tcPr>
          <w:p w14:paraId="71260008">
            <w:pPr>
              <w:snapToGrid w:val="0"/>
              <w:spacing w:line="240" w:lineRule="auto"/>
              <w:jc w:val="center"/>
              <w:rPr>
                <w:rFonts w:ascii="宋体" w:hAnsi="宋体"/>
                <w:b/>
                <w:bCs/>
              </w:rPr>
            </w:pPr>
            <w:r>
              <w:rPr>
                <w:rFonts w:hint="eastAsia" w:ascii="宋体" w:hAnsi="宋体"/>
                <w:b/>
                <w:bCs/>
              </w:rPr>
              <w:t>核查内容和要点</w:t>
            </w:r>
          </w:p>
        </w:tc>
        <w:tc>
          <w:tcPr>
            <w:tcW w:w="2677" w:type="dxa"/>
            <w:shd w:val="clear" w:color="auto" w:fill="auto"/>
            <w:noWrap/>
            <w:vAlign w:val="center"/>
          </w:tcPr>
          <w:p w14:paraId="69C2B656">
            <w:pPr>
              <w:snapToGrid w:val="0"/>
              <w:spacing w:line="240" w:lineRule="auto"/>
              <w:jc w:val="center"/>
              <w:rPr>
                <w:rFonts w:ascii="宋体" w:hAnsi="宋体"/>
                <w:b/>
                <w:bCs/>
              </w:rPr>
            </w:pPr>
            <w:r>
              <w:rPr>
                <w:rFonts w:hint="eastAsia" w:ascii="宋体" w:hAnsi="宋体"/>
                <w:b/>
                <w:bCs/>
              </w:rPr>
              <w:t>备注</w:t>
            </w:r>
          </w:p>
        </w:tc>
        <w:tc>
          <w:tcPr>
            <w:tcW w:w="5269" w:type="dxa"/>
            <w:shd w:val="clear" w:color="auto" w:fill="auto"/>
            <w:noWrap/>
            <w:vAlign w:val="center"/>
          </w:tcPr>
          <w:p w14:paraId="53370225">
            <w:pPr>
              <w:snapToGrid w:val="0"/>
              <w:spacing w:line="240" w:lineRule="auto"/>
              <w:jc w:val="center"/>
              <w:rPr>
                <w:rFonts w:ascii="宋体" w:hAnsi="宋体"/>
                <w:b/>
                <w:bCs/>
              </w:rPr>
            </w:pPr>
            <w:r>
              <w:rPr>
                <w:rFonts w:hint="eastAsia" w:ascii="宋体" w:hAnsi="宋体"/>
                <w:b/>
                <w:bCs/>
              </w:rPr>
              <w:t>现场评审指引</w:t>
            </w:r>
          </w:p>
        </w:tc>
      </w:tr>
      <w:tr w14:paraId="194625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42" w:type="dxa"/>
            <w:bottom w:w="0" w:type="dxa"/>
            <w:right w:w="42" w:type="dxa"/>
          </w:tblCellMar>
        </w:tblPrEx>
        <w:trPr>
          <w:cantSplit/>
          <w:trHeight w:val="550" w:hRule="atLeast"/>
          <w:jc w:val="center"/>
        </w:trPr>
        <w:tc>
          <w:tcPr>
            <w:tcW w:w="743" w:type="dxa"/>
            <w:shd w:val="clear" w:color="auto" w:fill="auto"/>
            <w:noWrap/>
            <w:vAlign w:val="center"/>
          </w:tcPr>
          <w:p w14:paraId="6AE36704">
            <w:pPr>
              <w:snapToGrid w:val="0"/>
              <w:spacing w:line="240" w:lineRule="auto"/>
              <w:jc w:val="center"/>
              <w:rPr>
                <w:rFonts w:ascii="宋体" w:hAnsi="宋体"/>
                <w:b/>
                <w:bCs/>
              </w:rPr>
            </w:pPr>
            <w:r>
              <w:rPr>
                <w:rFonts w:hint="eastAsia" w:ascii="宋体" w:hAnsi="宋体"/>
                <w:b/>
                <w:bCs/>
              </w:rPr>
              <w:t>1</w:t>
            </w:r>
          </w:p>
        </w:tc>
        <w:tc>
          <w:tcPr>
            <w:tcW w:w="13182" w:type="dxa"/>
            <w:gridSpan w:val="5"/>
            <w:shd w:val="clear" w:color="auto" w:fill="auto"/>
            <w:noWrap/>
            <w:vAlign w:val="center"/>
          </w:tcPr>
          <w:p w14:paraId="6EAAD5D8">
            <w:pPr>
              <w:snapToGrid w:val="0"/>
              <w:spacing w:line="240" w:lineRule="auto"/>
              <w:jc w:val="left"/>
              <w:rPr>
                <w:rFonts w:ascii="宋体" w:hAnsi="宋体"/>
                <w:b/>
                <w:bCs/>
              </w:rPr>
            </w:pPr>
            <w:r>
              <w:rPr>
                <w:rFonts w:hint="eastAsia" w:ascii="宋体" w:hAnsi="宋体"/>
                <w:b/>
                <w:bCs/>
              </w:rPr>
              <w:t>申请材料</w:t>
            </w:r>
          </w:p>
        </w:tc>
      </w:tr>
      <w:tr w14:paraId="5A1614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42" w:type="dxa"/>
            <w:bottom w:w="0" w:type="dxa"/>
            <w:right w:w="42" w:type="dxa"/>
          </w:tblCellMar>
        </w:tblPrEx>
        <w:trPr>
          <w:cantSplit/>
          <w:trHeight w:val="714" w:hRule="atLeast"/>
          <w:jc w:val="center"/>
        </w:trPr>
        <w:tc>
          <w:tcPr>
            <w:tcW w:w="743" w:type="dxa"/>
            <w:vMerge w:val="restart"/>
            <w:shd w:val="clear" w:color="auto" w:fill="auto"/>
            <w:noWrap/>
            <w:vAlign w:val="center"/>
          </w:tcPr>
          <w:p w14:paraId="561B09FF">
            <w:pPr>
              <w:snapToGrid w:val="0"/>
              <w:spacing w:line="240" w:lineRule="auto"/>
              <w:ind w:hanging="8"/>
              <w:jc w:val="center"/>
              <w:rPr>
                <w:rFonts w:ascii="宋体" w:hAnsi="宋体"/>
                <w:bCs/>
              </w:rPr>
            </w:pPr>
            <w:r>
              <w:rPr>
                <w:rFonts w:hint="eastAsia" w:ascii="宋体" w:hAnsi="宋体"/>
                <w:bCs/>
              </w:rPr>
              <w:t>1.1</w:t>
            </w:r>
          </w:p>
        </w:tc>
        <w:tc>
          <w:tcPr>
            <w:tcW w:w="702" w:type="dxa"/>
            <w:gridSpan w:val="2"/>
            <w:vMerge w:val="restart"/>
            <w:shd w:val="clear" w:color="auto" w:fill="auto"/>
            <w:noWrap/>
            <w:vAlign w:val="center"/>
          </w:tcPr>
          <w:p w14:paraId="5A261318">
            <w:pPr>
              <w:snapToGrid w:val="0"/>
              <w:spacing w:line="240" w:lineRule="auto"/>
              <w:jc w:val="center"/>
              <w:rPr>
                <w:rFonts w:ascii="宋体" w:hAnsi="宋体"/>
                <w:bCs/>
              </w:rPr>
            </w:pPr>
            <w:r>
              <w:rPr>
                <w:rFonts w:hint="eastAsia" w:ascii="宋体" w:hAnsi="宋体"/>
                <w:bCs/>
              </w:rPr>
              <w:t>营业执照</w:t>
            </w:r>
          </w:p>
        </w:tc>
        <w:tc>
          <w:tcPr>
            <w:tcW w:w="4534" w:type="dxa"/>
            <w:shd w:val="clear" w:color="auto" w:fill="auto"/>
            <w:noWrap/>
            <w:vAlign w:val="center"/>
          </w:tcPr>
          <w:p w14:paraId="7A38D1F8">
            <w:pPr>
              <w:snapToGrid w:val="0"/>
              <w:spacing w:line="240" w:lineRule="auto"/>
              <w:rPr>
                <w:rFonts w:ascii="宋体" w:hAnsi="宋体"/>
                <w:bCs/>
              </w:rPr>
            </w:pPr>
            <w:r>
              <w:rPr>
                <w:rFonts w:hint="eastAsia" w:ascii="宋体" w:hAnsi="宋体"/>
                <w:bCs/>
              </w:rPr>
              <w:t>1）申请书填写的住所与营业执照是否一致；</w:t>
            </w:r>
          </w:p>
        </w:tc>
        <w:tc>
          <w:tcPr>
            <w:tcW w:w="2677" w:type="dxa"/>
            <w:vMerge w:val="restart"/>
            <w:shd w:val="clear" w:color="auto" w:fill="auto"/>
            <w:noWrap/>
            <w:vAlign w:val="center"/>
          </w:tcPr>
          <w:p w14:paraId="343DBD8C">
            <w:pPr>
              <w:snapToGrid w:val="0"/>
              <w:spacing w:line="240" w:lineRule="auto"/>
              <w:rPr>
                <w:rFonts w:ascii="宋体" w:hAnsi="宋体"/>
                <w:bCs/>
              </w:rPr>
            </w:pPr>
            <w:r>
              <w:rPr>
                <w:rFonts w:hint="eastAsia" w:ascii="宋体" w:hAnsi="宋体"/>
                <w:bCs/>
              </w:rPr>
              <w:t>1.经营范围是广义的概念，可按行业或大类分，只要涵盖申请许可证产品即可；</w:t>
            </w:r>
          </w:p>
          <w:p w14:paraId="4A351E25">
            <w:pPr>
              <w:snapToGrid w:val="0"/>
              <w:spacing w:line="240" w:lineRule="auto"/>
              <w:rPr>
                <w:rFonts w:ascii="宋体" w:hAnsi="宋体"/>
                <w:bCs/>
              </w:rPr>
            </w:pPr>
            <w:r>
              <w:rPr>
                <w:rFonts w:hint="eastAsia" w:ascii="宋体" w:hAnsi="宋体"/>
                <w:bCs/>
              </w:rPr>
              <w:t>2. 1）～2）款，若为填写错误允许勘误，此类情况不作为不符合。</w:t>
            </w:r>
          </w:p>
          <w:p w14:paraId="12334FB2">
            <w:pPr>
              <w:snapToGrid w:val="0"/>
              <w:spacing w:line="240" w:lineRule="auto"/>
              <w:rPr>
                <w:rFonts w:ascii="宋体" w:hAnsi="宋体"/>
                <w:bCs/>
              </w:rPr>
            </w:pPr>
            <w:r>
              <w:rPr>
                <w:rFonts w:hint="eastAsia" w:ascii="宋体" w:hAnsi="宋体"/>
                <w:bCs/>
              </w:rPr>
              <w:t>3. 1）～3）款任一款为否时判不符合。</w:t>
            </w:r>
          </w:p>
          <w:p w14:paraId="468A28ED">
            <w:pPr>
              <w:snapToGrid w:val="0"/>
              <w:spacing w:line="240" w:lineRule="auto"/>
              <w:rPr>
                <w:rFonts w:ascii="宋体" w:hAnsi="宋体"/>
                <w:bCs/>
              </w:rPr>
            </w:pPr>
            <w:r>
              <w:rPr>
                <w:rFonts w:hint="eastAsia" w:ascii="宋体" w:hAnsi="宋体"/>
                <w:bCs/>
              </w:rPr>
              <w:t>【否决项】</w:t>
            </w:r>
          </w:p>
        </w:tc>
        <w:tc>
          <w:tcPr>
            <w:tcW w:w="5269" w:type="dxa"/>
            <w:shd w:val="clear" w:color="auto" w:fill="auto"/>
            <w:noWrap/>
            <w:vAlign w:val="center"/>
          </w:tcPr>
          <w:p w14:paraId="4525A964">
            <w:pPr>
              <w:snapToGrid w:val="0"/>
              <w:spacing w:line="240" w:lineRule="auto"/>
              <w:rPr>
                <w:rFonts w:ascii="宋体" w:hAnsi="宋体"/>
                <w:bCs/>
              </w:rPr>
            </w:pPr>
            <w:r>
              <w:rPr>
                <w:rFonts w:hint="eastAsia" w:ascii="宋体" w:hAnsi="宋体"/>
                <w:bCs/>
              </w:rPr>
              <w:t>现场评审时应索要企业网上向省市场局窗口递交的电子版申请书，核对此住所与营业执照是否一致。</w:t>
            </w:r>
          </w:p>
        </w:tc>
      </w:tr>
      <w:tr w14:paraId="4EBD84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42" w:type="dxa"/>
            <w:bottom w:w="0" w:type="dxa"/>
            <w:right w:w="42" w:type="dxa"/>
          </w:tblCellMar>
        </w:tblPrEx>
        <w:trPr>
          <w:cantSplit/>
          <w:trHeight w:val="666" w:hRule="atLeast"/>
          <w:jc w:val="center"/>
        </w:trPr>
        <w:tc>
          <w:tcPr>
            <w:tcW w:w="743" w:type="dxa"/>
            <w:vMerge w:val="continue"/>
            <w:shd w:val="clear" w:color="auto" w:fill="auto"/>
            <w:noWrap/>
            <w:vAlign w:val="center"/>
          </w:tcPr>
          <w:p w14:paraId="41AAEFC3">
            <w:pPr>
              <w:snapToGrid w:val="0"/>
              <w:spacing w:line="240" w:lineRule="auto"/>
              <w:jc w:val="center"/>
              <w:rPr>
                <w:rFonts w:ascii="宋体" w:hAnsi="宋体"/>
                <w:bCs/>
              </w:rPr>
            </w:pPr>
          </w:p>
        </w:tc>
        <w:tc>
          <w:tcPr>
            <w:tcW w:w="702" w:type="dxa"/>
            <w:gridSpan w:val="2"/>
            <w:vMerge w:val="continue"/>
            <w:shd w:val="clear" w:color="auto" w:fill="auto"/>
            <w:noWrap/>
            <w:vAlign w:val="center"/>
          </w:tcPr>
          <w:p w14:paraId="0984A9DB">
            <w:pPr>
              <w:snapToGrid w:val="0"/>
              <w:spacing w:line="240" w:lineRule="auto"/>
              <w:jc w:val="center"/>
              <w:rPr>
                <w:rFonts w:ascii="宋体" w:hAnsi="宋体"/>
                <w:bCs/>
              </w:rPr>
            </w:pPr>
          </w:p>
        </w:tc>
        <w:tc>
          <w:tcPr>
            <w:tcW w:w="4534" w:type="dxa"/>
            <w:shd w:val="clear" w:color="auto" w:fill="auto"/>
            <w:noWrap/>
            <w:vAlign w:val="center"/>
          </w:tcPr>
          <w:p w14:paraId="468CF49D">
            <w:pPr>
              <w:snapToGrid w:val="0"/>
              <w:spacing w:line="240" w:lineRule="auto"/>
              <w:rPr>
                <w:rFonts w:ascii="宋体" w:hAnsi="宋体"/>
                <w:bCs/>
              </w:rPr>
            </w:pPr>
            <w:r>
              <w:rPr>
                <w:rFonts w:hint="eastAsia" w:ascii="宋体" w:hAnsi="宋体"/>
                <w:bCs/>
              </w:rPr>
              <w:t>2）实际生产地址与申请书填写的是否一致；</w:t>
            </w:r>
          </w:p>
        </w:tc>
        <w:tc>
          <w:tcPr>
            <w:tcW w:w="2677" w:type="dxa"/>
            <w:vMerge w:val="continue"/>
            <w:shd w:val="clear" w:color="auto" w:fill="auto"/>
            <w:noWrap/>
            <w:vAlign w:val="center"/>
          </w:tcPr>
          <w:p w14:paraId="418C9ED5">
            <w:pPr>
              <w:snapToGrid w:val="0"/>
              <w:spacing w:line="240" w:lineRule="auto"/>
              <w:rPr>
                <w:rFonts w:ascii="宋体" w:hAnsi="宋体"/>
                <w:bCs/>
              </w:rPr>
            </w:pPr>
          </w:p>
        </w:tc>
        <w:tc>
          <w:tcPr>
            <w:tcW w:w="5269" w:type="dxa"/>
            <w:shd w:val="clear" w:color="auto" w:fill="auto"/>
            <w:noWrap/>
            <w:vAlign w:val="center"/>
          </w:tcPr>
          <w:p w14:paraId="5C48C7BD">
            <w:pPr>
              <w:snapToGrid w:val="0"/>
              <w:spacing w:line="240" w:lineRule="auto"/>
              <w:rPr>
                <w:rFonts w:ascii="宋体" w:hAnsi="宋体"/>
                <w:bCs/>
              </w:rPr>
            </w:pPr>
            <w:r>
              <w:rPr>
                <w:rFonts w:hint="eastAsia" w:ascii="宋体" w:hAnsi="宋体"/>
                <w:bCs/>
              </w:rPr>
              <w:t>现场评审时可与观察员（或采用手机定位软件）沟通核对实际生产地址，与申请书、《附件2-2：企业生产危险化学品无机产品生产场所示意图》是否一致。</w:t>
            </w:r>
          </w:p>
        </w:tc>
      </w:tr>
      <w:tr w14:paraId="487324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42" w:type="dxa"/>
            <w:bottom w:w="0" w:type="dxa"/>
            <w:right w:w="42" w:type="dxa"/>
          </w:tblCellMar>
        </w:tblPrEx>
        <w:trPr>
          <w:cantSplit/>
          <w:trHeight w:val="821" w:hRule="atLeast"/>
          <w:jc w:val="center"/>
        </w:trPr>
        <w:tc>
          <w:tcPr>
            <w:tcW w:w="743" w:type="dxa"/>
            <w:vMerge w:val="continue"/>
            <w:shd w:val="clear" w:color="auto" w:fill="auto"/>
            <w:noWrap/>
            <w:vAlign w:val="center"/>
          </w:tcPr>
          <w:p w14:paraId="66564EFF">
            <w:pPr>
              <w:snapToGrid w:val="0"/>
              <w:spacing w:line="240" w:lineRule="auto"/>
              <w:jc w:val="center"/>
              <w:rPr>
                <w:rFonts w:ascii="宋体" w:hAnsi="宋体"/>
                <w:bCs/>
              </w:rPr>
            </w:pPr>
          </w:p>
        </w:tc>
        <w:tc>
          <w:tcPr>
            <w:tcW w:w="702" w:type="dxa"/>
            <w:gridSpan w:val="2"/>
            <w:vMerge w:val="continue"/>
            <w:shd w:val="clear" w:color="auto" w:fill="auto"/>
            <w:noWrap/>
            <w:vAlign w:val="center"/>
          </w:tcPr>
          <w:p w14:paraId="5C9DAC11">
            <w:pPr>
              <w:snapToGrid w:val="0"/>
              <w:spacing w:line="240" w:lineRule="auto"/>
              <w:jc w:val="center"/>
              <w:rPr>
                <w:rFonts w:ascii="宋体" w:hAnsi="宋体"/>
                <w:bCs/>
              </w:rPr>
            </w:pPr>
          </w:p>
        </w:tc>
        <w:tc>
          <w:tcPr>
            <w:tcW w:w="4534" w:type="dxa"/>
            <w:shd w:val="clear" w:color="auto" w:fill="auto"/>
            <w:noWrap/>
            <w:vAlign w:val="center"/>
          </w:tcPr>
          <w:p w14:paraId="15F361FD">
            <w:pPr>
              <w:snapToGrid w:val="0"/>
              <w:spacing w:line="240" w:lineRule="auto"/>
              <w:rPr>
                <w:rFonts w:ascii="宋体" w:hAnsi="宋体"/>
                <w:bCs/>
              </w:rPr>
            </w:pPr>
            <w:r>
              <w:rPr>
                <w:rFonts w:hint="eastAsia" w:ascii="宋体" w:hAnsi="宋体"/>
                <w:bCs/>
              </w:rPr>
              <w:t>3）实际生产地址与</w:t>
            </w:r>
            <w:r>
              <w:rPr>
                <w:rFonts w:hint="eastAsia" w:ascii="宋体" w:hAnsi="宋体"/>
                <w:bCs/>
                <w:lang w:val="en-US" w:eastAsia="zh-CN"/>
              </w:rPr>
              <w:t>市场监督管理</w:t>
            </w:r>
            <w:r>
              <w:rPr>
                <w:rFonts w:hint="eastAsia" w:ascii="宋体" w:hAnsi="宋体"/>
                <w:bCs/>
              </w:rPr>
              <w:t>部门登记的是否一致（实际生产地址应与营业执照住所同地址，若不同，该生产地址应</w:t>
            </w:r>
            <w:r>
              <w:rPr>
                <w:rFonts w:hint="eastAsia" w:ascii="宋体" w:hAnsi="宋体"/>
                <w:bCs/>
                <w:lang w:val="en-US" w:eastAsia="zh-CN"/>
              </w:rPr>
              <w:t>市场监督管理部门</w:t>
            </w:r>
            <w:r>
              <w:rPr>
                <w:rFonts w:hint="eastAsia" w:ascii="宋体" w:hAnsi="宋体"/>
                <w:bCs/>
              </w:rPr>
              <w:t>登记或备案）</w:t>
            </w:r>
            <w:bookmarkStart w:id="43" w:name="_GoBack"/>
            <w:bookmarkEnd w:id="43"/>
            <w:r>
              <w:rPr>
                <w:rFonts w:hint="eastAsia" w:ascii="宋体" w:hAnsi="宋体"/>
                <w:bCs/>
              </w:rPr>
              <w:t>；经营范围是否涵盖申请许可证产品；是否在有效期限内。</w:t>
            </w:r>
          </w:p>
        </w:tc>
        <w:tc>
          <w:tcPr>
            <w:tcW w:w="2677" w:type="dxa"/>
            <w:vMerge w:val="continue"/>
            <w:shd w:val="clear" w:color="auto" w:fill="auto"/>
            <w:noWrap/>
            <w:vAlign w:val="center"/>
          </w:tcPr>
          <w:p w14:paraId="53217343">
            <w:pPr>
              <w:snapToGrid w:val="0"/>
              <w:spacing w:line="240" w:lineRule="auto"/>
              <w:rPr>
                <w:rFonts w:ascii="宋体" w:hAnsi="宋体"/>
                <w:bCs/>
              </w:rPr>
            </w:pPr>
          </w:p>
        </w:tc>
        <w:tc>
          <w:tcPr>
            <w:tcW w:w="5269" w:type="dxa"/>
            <w:shd w:val="clear" w:color="auto" w:fill="auto"/>
            <w:noWrap/>
            <w:vAlign w:val="center"/>
          </w:tcPr>
          <w:p w14:paraId="22601C38">
            <w:pPr>
              <w:snapToGrid w:val="0"/>
              <w:spacing w:line="240" w:lineRule="auto"/>
              <w:rPr>
                <w:rFonts w:ascii="宋体" w:hAnsi="宋体"/>
                <w:bCs/>
              </w:rPr>
            </w:pPr>
            <w:r>
              <w:rPr>
                <w:rFonts w:hint="eastAsia" w:ascii="宋体" w:hAnsi="宋体"/>
                <w:bCs/>
              </w:rPr>
              <w:t>1、现场评审时实际生产地址与营业执照住所核对；</w:t>
            </w:r>
          </w:p>
          <w:p w14:paraId="1C44D400">
            <w:pPr>
              <w:snapToGrid w:val="0"/>
              <w:spacing w:line="240" w:lineRule="auto"/>
              <w:rPr>
                <w:rFonts w:ascii="宋体" w:hAnsi="宋体"/>
                <w:bCs/>
              </w:rPr>
            </w:pPr>
            <w:r>
              <w:rPr>
                <w:rFonts w:hint="eastAsia" w:ascii="宋体" w:hAnsi="宋体"/>
                <w:bCs/>
              </w:rPr>
              <w:t>2、现场评审时核对营业执照经营范围是否涵盖申请产品。</w:t>
            </w:r>
          </w:p>
        </w:tc>
      </w:tr>
      <w:tr w14:paraId="4893BB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42" w:type="dxa"/>
            <w:bottom w:w="0" w:type="dxa"/>
            <w:right w:w="42" w:type="dxa"/>
          </w:tblCellMar>
        </w:tblPrEx>
        <w:trPr>
          <w:cantSplit/>
          <w:trHeight w:val="170" w:hRule="atLeast"/>
          <w:jc w:val="center"/>
        </w:trPr>
        <w:tc>
          <w:tcPr>
            <w:tcW w:w="743" w:type="dxa"/>
            <w:shd w:val="clear" w:color="auto" w:fill="auto"/>
            <w:noWrap/>
            <w:vAlign w:val="center"/>
          </w:tcPr>
          <w:p w14:paraId="2DE07659">
            <w:pPr>
              <w:snapToGrid w:val="0"/>
              <w:spacing w:line="240" w:lineRule="auto"/>
              <w:ind w:hanging="8"/>
              <w:jc w:val="center"/>
              <w:rPr>
                <w:rFonts w:ascii="宋体" w:hAnsi="宋体"/>
                <w:bCs/>
              </w:rPr>
            </w:pPr>
            <w:r>
              <w:rPr>
                <w:rFonts w:hint="eastAsia" w:ascii="宋体" w:hAnsi="宋体"/>
                <w:bCs/>
              </w:rPr>
              <w:t>1.2</w:t>
            </w:r>
          </w:p>
        </w:tc>
        <w:tc>
          <w:tcPr>
            <w:tcW w:w="702" w:type="dxa"/>
            <w:gridSpan w:val="2"/>
            <w:shd w:val="clear" w:color="auto" w:fill="auto"/>
            <w:noWrap/>
            <w:vAlign w:val="center"/>
          </w:tcPr>
          <w:p w14:paraId="7D6AB791">
            <w:pPr>
              <w:snapToGrid w:val="0"/>
              <w:spacing w:line="240" w:lineRule="auto"/>
              <w:jc w:val="center"/>
              <w:rPr>
                <w:rFonts w:ascii="宋体" w:hAnsi="宋体"/>
                <w:bCs/>
              </w:rPr>
            </w:pPr>
            <w:r>
              <w:rPr>
                <w:rFonts w:hint="eastAsia" w:ascii="宋体" w:hAnsi="宋体"/>
                <w:bCs/>
              </w:rPr>
              <w:t>检验报告</w:t>
            </w:r>
          </w:p>
        </w:tc>
        <w:tc>
          <w:tcPr>
            <w:tcW w:w="4534" w:type="dxa"/>
            <w:shd w:val="clear" w:color="auto" w:fill="auto"/>
            <w:noWrap/>
            <w:vAlign w:val="center"/>
          </w:tcPr>
          <w:p w14:paraId="49F2BE95">
            <w:pPr>
              <w:snapToGrid w:val="0"/>
              <w:spacing w:line="240" w:lineRule="auto"/>
              <w:rPr>
                <w:rFonts w:ascii="宋体" w:hAnsi="宋体"/>
                <w:bCs/>
              </w:rPr>
            </w:pPr>
            <w:r>
              <w:rPr>
                <w:rFonts w:hint="eastAsia" w:ascii="宋体" w:hAnsi="宋体"/>
                <w:bCs/>
                <w:szCs w:val="22"/>
              </w:rPr>
              <w:t>4）企业申请时提交的合格的产品检验报告的出具机构是否获得省级以上检验检测机构资质认定，认定的检验范围是否包含本实施细则要求的产品标准，且在有效期内；检验报告的检验项目是否覆盖本实施细则规定的产品检验项目（见附件1）；监督抽查检验报告是否为省级以上的监督抽查；产品检验报告或监督抽查检验报告是否为1年以内的。</w:t>
            </w:r>
          </w:p>
        </w:tc>
        <w:tc>
          <w:tcPr>
            <w:tcW w:w="2677" w:type="dxa"/>
            <w:shd w:val="clear" w:color="auto" w:fill="auto"/>
            <w:noWrap/>
            <w:vAlign w:val="center"/>
          </w:tcPr>
          <w:p w14:paraId="549EA064">
            <w:pPr>
              <w:snapToGrid w:val="0"/>
              <w:spacing w:line="240" w:lineRule="auto"/>
              <w:rPr>
                <w:rFonts w:ascii="宋体" w:hAnsi="宋体"/>
                <w:bCs/>
              </w:rPr>
            </w:pPr>
            <w:r>
              <w:rPr>
                <w:rFonts w:hint="eastAsia" w:ascii="宋体" w:hAnsi="宋体"/>
                <w:bCs/>
              </w:rPr>
              <w:t>核查内容有一项为否，应判不符合。</w:t>
            </w:r>
          </w:p>
          <w:p w14:paraId="2FF8DDB6">
            <w:pPr>
              <w:snapToGrid w:val="0"/>
              <w:spacing w:line="240" w:lineRule="auto"/>
              <w:rPr>
                <w:rFonts w:ascii="宋体" w:hAnsi="宋体"/>
                <w:bCs/>
              </w:rPr>
            </w:pPr>
            <w:r>
              <w:rPr>
                <w:rFonts w:hint="eastAsia" w:ascii="宋体" w:hAnsi="宋体"/>
                <w:bCs/>
              </w:rPr>
              <w:t>【否决项】</w:t>
            </w:r>
          </w:p>
        </w:tc>
        <w:tc>
          <w:tcPr>
            <w:tcW w:w="5269" w:type="dxa"/>
            <w:shd w:val="clear" w:color="auto" w:fill="auto"/>
            <w:noWrap/>
            <w:vAlign w:val="center"/>
          </w:tcPr>
          <w:p w14:paraId="26104898">
            <w:pPr>
              <w:widowControl/>
              <w:numPr>
                <w:ilvl w:val="0"/>
                <w:numId w:val="32"/>
              </w:numPr>
              <w:snapToGrid w:val="0"/>
              <w:spacing w:line="240" w:lineRule="auto"/>
              <w:rPr>
                <w:rFonts w:ascii="宋体" w:hAnsi="宋体"/>
                <w:bCs/>
              </w:rPr>
            </w:pPr>
            <w:r>
              <w:rPr>
                <w:rFonts w:hint="eastAsia" w:ascii="宋体" w:hAnsi="宋体"/>
                <w:bCs/>
              </w:rPr>
              <w:t>出具检验报告的检验机构，应具备省级或者国家级资质认定（CMA）资质，且在证书有效期内；</w:t>
            </w:r>
          </w:p>
          <w:p w14:paraId="61DBA72E">
            <w:pPr>
              <w:widowControl/>
              <w:numPr>
                <w:ilvl w:val="0"/>
                <w:numId w:val="32"/>
              </w:numPr>
              <w:snapToGrid w:val="0"/>
              <w:spacing w:line="240" w:lineRule="auto"/>
              <w:rPr>
                <w:rFonts w:ascii="宋体" w:hAnsi="宋体"/>
                <w:bCs/>
              </w:rPr>
            </w:pPr>
            <w:r>
              <w:rPr>
                <w:rFonts w:hint="eastAsia" w:ascii="宋体" w:hAnsi="宋体"/>
                <w:bCs/>
              </w:rPr>
              <w:t>检验项目是否齐全，且检验报告是否在1年以内；</w:t>
            </w:r>
          </w:p>
          <w:p w14:paraId="56E5E6D0">
            <w:pPr>
              <w:widowControl/>
              <w:numPr>
                <w:ilvl w:val="0"/>
                <w:numId w:val="32"/>
              </w:numPr>
              <w:snapToGrid w:val="0"/>
              <w:spacing w:line="240" w:lineRule="auto"/>
              <w:rPr>
                <w:rFonts w:ascii="宋体" w:hAnsi="宋体"/>
                <w:bCs/>
              </w:rPr>
            </w:pPr>
            <w:r>
              <w:rPr>
                <w:rFonts w:hint="eastAsia" w:ascii="宋体" w:hAnsi="宋体"/>
                <w:bCs/>
              </w:rPr>
              <w:t>如遇现场评审日期处于新产品标准过渡期及其以后，企业提供依据旧标准开展检验的报告，应不予认可。</w:t>
            </w:r>
          </w:p>
        </w:tc>
      </w:tr>
      <w:tr w14:paraId="248E2B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42" w:type="dxa"/>
            <w:bottom w:w="0" w:type="dxa"/>
            <w:right w:w="42" w:type="dxa"/>
          </w:tblCellMar>
        </w:tblPrEx>
        <w:trPr>
          <w:cantSplit/>
          <w:trHeight w:val="745" w:hRule="atLeast"/>
          <w:jc w:val="center"/>
        </w:trPr>
        <w:tc>
          <w:tcPr>
            <w:tcW w:w="743" w:type="dxa"/>
            <w:shd w:val="clear" w:color="auto" w:fill="auto"/>
            <w:noWrap/>
            <w:vAlign w:val="center"/>
          </w:tcPr>
          <w:p w14:paraId="1251BCE1">
            <w:pPr>
              <w:snapToGrid w:val="0"/>
              <w:spacing w:line="240" w:lineRule="auto"/>
              <w:ind w:hanging="8"/>
              <w:jc w:val="center"/>
              <w:rPr>
                <w:rFonts w:ascii="宋体" w:hAnsi="宋体"/>
                <w:bCs/>
              </w:rPr>
            </w:pPr>
            <w:r>
              <w:rPr>
                <w:rFonts w:hint="eastAsia" w:ascii="宋体" w:hAnsi="宋体"/>
                <w:bCs/>
              </w:rPr>
              <w:t>1.3</w:t>
            </w:r>
          </w:p>
        </w:tc>
        <w:tc>
          <w:tcPr>
            <w:tcW w:w="702" w:type="dxa"/>
            <w:gridSpan w:val="2"/>
            <w:shd w:val="clear" w:color="auto" w:fill="auto"/>
            <w:noWrap/>
            <w:vAlign w:val="center"/>
          </w:tcPr>
          <w:p w14:paraId="462B4B06">
            <w:pPr>
              <w:snapToGrid w:val="0"/>
              <w:spacing w:line="240" w:lineRule="auto"/>
              <w:jc w:val="center"/>
              <w:rPr>
                <w:rFonts w:ascii="宋体" w:hAnsi="宋体"/>
                <w:bCs/>
              </w:rPr>
            </w:pPr>
            <w:r>
              <w:rPr>
                <w:rFonts w:hint="eastAsia" w:ascii="宋体" w:hAnsi="宋体"/>
                <w:bCs/>
              </w:rPr>
              <w:t>产业政策</w:t>
            </w:r>
          </w:p>
        </w:tc>
        <w:tc>
          <w:tcPr>
            <w:tcW w:w="4534" w:type="dxa"/>
            <w:shd w:val="clear" w:color="auto" w:fill="auto"/>
            <w:noWrap/>
            <w:vAlign w:val="center"/>
          </w:tcPr>
          <w:p w14:paraId="29572EC3">
            <w:pPr>
              <w:snapToGrid w:val="0"/>
              <w:spacing w:line="240" w:lineRule="auto"/>
              <w:rPr>
                <w:rFonts w:ascii="宋体" w:hAnsi="宋体"/>
                <w:bCs/>
              </w:rPr>
            </w:pPr>
            <w:r>
              <w:rPr>
                <w:rFonts w:hint="eastAsia" w:ascii="宋体" w:hAnsi="宋体"/>
                <w:bCs/>
              </w:rPr>
              <w:t>5）国家产业政策要求的建设项目的有效审批文件、核准文件或符合产业政策要求承诺书与企业实际情况是否一致，不存在国家明令淘汰的生产设备、生产工艺和产品。</w:t>
            </w:r>
          </w:p>
        </w:tc>
        <w:tc>
          <w:tcPr>
            <w:tcW w:w="2677" w:type="dxa"/>
            <w:shd w:val="clear" w:color="auto" w:fill="auto"/>
            <w:noWrap/>
            <w:vAlign w:val="center"/>
          </w:tcPr>
          <w:p w14:paraId="51ED01F2">
            <w:pPr>
              <w:snapToGrid w:val="0"/>
              <w:spacing w:line="240" w:lineRule="auto"/>
              <w:rPr>
                <w:rFonts w:ascii="宋体" w:hAnsi="宋体"/>
                <w:bCs/>
              </w:rPr>
            </w:pPr>
            <w:r>
              <w:rPr>
                <w:rFonts w:hint="eastAsia" w:ascii="宋体" w:hAnsi="宋体"/>
                <w:bCs/>
              </w:rPr>
              <w:t>1、企业提供文件证明符合产业政策，符合产业政策要求承诺书与实际情况一致，判定符合，否则为不符合</w:t>
            </w:r>
          </w:p>
          <w:p w14:paraId="52EF40A2">
            <w:pPr>
              <w:snapToGrid w:val="0"/>
              <w:spacing w:line="240" w:lineRule="auto"/>
              <w:rPr>
                <w:rFonts w:ascii="宋体" w:hAnsi="宋体"/>
                <w:bCs/>
              </w:rPr>
            </w:pPr>
            <w:r>
              <w:rPr>
                <w:rFonts w:hint="eastAsia" w:ascii="宋体" w:hAnsi="宋体"/>
                <w:bCs/>
              </w:rPr>
              <w:t>2、如果产品不涉及产业政策，则为不适用。</w:t>
            </w:r>
          </w:p>
          <w:p w14:paraId="6F6CE269">
            <w:pPr>
              <w:snapToGrid w:val="0"/>
              <w:spacing w:line="240" w:lineRule="auto"/>
              <w:rPr>
                <w:rFonts w:ascii="宋体" w:hAnsi="宋体"/>
                <w:bCs/>
              </w:rPr>
            </w:pPr>
            <w:r>
              <w:rPr>
                <w:rFonts w:hint="eastAsia" w:ascii="宋体" w:hAnsi="宋体"/>
                <w:bCs/>
              </w:rPr>
              <w:t>【否决项，可不适用】</w:t>
            </w:r>
          </w:p>
        </w:tc>
        <w:tc>
          <w:tcPr>
            <w:tcW w:w="5269" w:type="dxa"/>
            <w:shd w:val="clear" w:color="auto" w:fill="auto"/>
            <w:noWrap/>
            <w:vAlign w:val="center"/>
          </w:tcPr>
          <w:p w14:paraId="51069F0B">
            <w:pPr>
              <w:snapToGrid w:val="0"/>
              <w:spacing w:line="240" w:lineRule="auto"/>
              <w:rPr>
                <w:rFonts w:ascii="宋体" w:hAnsi="宋体"/>
                <w:bCs/>
              </w:rPr>
            </w:pPr>
            <w:r>
              <w:rPr>
                <w:rFonts w:hint="eastAsia" w:ascii="宋体" w:hAnsi="宋体"/>
                <w:bCs/>
              </w:rPr>
              <w:t>核对《细则》的《表1、危险化学品无机产品单元、产品品种》申请产品名称后是否标“#”，如是，则需要对照《细则》第六条及国家发展改革委修订发布的现行《产业结构调整指导目录》（2024年本），核对企业提交的发改经信部门或当地管委会的备案表或证明文件，是否符合现行产业政策指导目录，是否涵盖申请产品。</w:t>
            </w:r>
          </w:p>
        </w:tc>
      </w:tr>
      <w:tr w14:paraId="2983BB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42" w:type="dxa"/>
            <w:bottom w:w="0" w:type="dxa"/>
            <w:right w:w="42" w:type="dxa"/>
          </w:tblCellMar>
        </w:tblPrEx>
        <w:trPr>
          <w:cantSplit/>
          <w:trHeight w:val="663" w:hRule="atLeast"/>
          <w:jc w:val="center"/>
        </w:trPr>
        <w:tc>
          <w:tcPr>
            <w:tcW w:w="743" w:type="dxa"/>
            <w:shd w:val="clear" w:color="auto" w:fill="auto"/>
            <w:noWrap/>
            <w:vAlign w:val="center"/>
          </w:tcPr>
          <w:p w14:paraId="12BC28C0">
            <w:pPr>
              <w:snapToGrid w:val="0"/>
              <w:spacing w:line="240" w:lineRule="auto"/>
              <w:ind w:hanging="8"/>
              <w:jc w:val="center"/>
              <w:rPr>
                <w:rFonts w:ascii="宋体" w:hAnsi="宋体"/>
                <w:bCs/>
              </w:rPr>
            </w:pPr>
            <w:r>
              <w:rPr>
                <w:rFonts w:hint="eastAsia" w:ascii="宋体" w:hAnsi="宋体"/>
                <w:bCs/>
              </w:rPr>
              <w:t>2</w:t>
            </w:r>
          </w:p>
        </w:tc>
        <w:tc>
          <w:tcPr>
            <w:tcW w:w="13182" w:type="dxa"/>
            <w:gridSpan w:val="5"/>
            <w:shd w:val="clear" w:color="auto" w:fill="auto"/>
            <w:noWrap/>
            <w:vAlign w:val="center"/>
          </w:tcPr>
          <w:p w14:paraId="3B401A87">
            <w:pPr>
              <w:snapToGrid w:val="0"/>
              <w:spacing w:line="240" w:lineRule="auto"/>
              <w:rPr>
                <w:rFonts w:ascii="宋体" w:hAnsi="宋体"/>
                <w:b/>
                <w:bCs/>
              </w:rPr>
            </w:pPr>
            <w:r>
              <w:rPr>
                <w:rFonts w:hint="eastAsia" w:ascii="宋体" w:hAnsi="宋体"/>
                <w:b/>
                <w:bCs/>
              </w:rPr>
              <w:t>人员能力</w:t>
            </w:r>
          </w:p>
        </w:tc>
      </w:tr>
      <w:tr w14:paraId="7C3425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42" w:type="dxa"/>
            <w:bottom w:w="0" w:type="dxa"/>
            <w:right w:w="42" w:type="dxa"/>
          </w:tblCellMar>
        </w:tblPrEx>
        <w:trPr>
          <w:cantSplit/>
          <w:trHeight w:val="683" w:hRule="atLeast"/>
          <w:jc w:val="center"/>
        </w:trPr>
        <w:tc>
          <w:tcPr>
            <w:tcW w:w="743" w:type="dxa"/>
            <w:vMerge w:val="restart"/>
            <w:shd w:val="clear" w:color="auto" w:fill="auto"/>
            <w:noWrap/>
            <w:vAlign w:val="center"/>
          </w:tcPr>
          <w:p w14:paraId="5CB63C07">
            <w:pPr>
              <w:snapToGrid w:val="0"/>
              <w:spacing w:line="240" w:lineRule="auto"/>
              <w:jc w:val="center"/>
              <w:rPr>
                <w:rFonts w:ascii="宋体" w:hAnsi="宋体"/>
                <w:bCs/>
              </w:rPr>
            </w:pPr>
            <w:r>
              <w:rPr>
                <w:rFonts w:hint="eastAsia" w:ascii="宋体" w:hAnsi="宋体"/>
                <w:bCs/>
              </w:rPr>
              <w:t>2.1</w:t>
            </w:r>
          </w:p>
        </w:tc>
        <w:tc>
          <w:tcPr>
            <w:tcW w:w="702" w:type="dxa"/>
            <w:gridSpan w:val="2"/>
            <w:vMerge w:val="restart"/>
            <w:shd w:val="clear" w:color="auto" w:fill="auto"/>
            <w:noWrap/>
            <w:vAlign w:val="center"/>
          </w:tcPr>
          <w:p w14:paraId="0CB3F290">
            <w:pPr>
              <w:snapToGrid w:val="0"/>
              <w:spacing w:line="240" w:lineRule="auto"/>
              <w:jc w:val="center"/>
              <w:rPr>
                <w:rFonts w:ascii="宋体" w:hAnsi="宋体"/>
                <w:bCs/>
              </w:rPr>
            </w:pPr>
            <w:r>
              <w:rPr>
                <w:rFonts w:hint="eastAsia" w:ascii="宋体" w:hAnsi="宋体"/>
                <w:bCs/>
              </w:rPr>
              <w:t>技术人员</w:t>
            </w:r>
          </w:p>
        </w:tc>
        <w:tc>
          <w:tcPr>
            <w:tcW w:w="4534" w:type="dxa"/>
            <w:shd w:val="clear" w:color="auto" w:fill="auto"/>
            <w:noWrap/>
            <w:vAlign w:val="center"/>
          </w:tcPr>
          <w:p w14:paraId="2ED027EE">
            <w:pPr>
              <w:snapToGrid w:val="0"/>
              <w:spacing w:line="240" w:lineRule="auto"/>
              <w:rPr>
                <w:rFonts w:ascii="宋体" w:hAnsi="宋体"/>
                <w:bCs/>
              </w:rPr>
            </w:pPr>
            <w:r>
              <w:rPr>
                <w:rFonts w:hint="eastAsia" w:ascii="宋体" w:hAnsi="宋体"/>
                <w:bCs/>
              </w:rPr>
              <w:t>6）是否熟悉所申请的产品标准。</w:t>
            </w:r>
          </w:p>
        </w:tc>
        <w:tc>
          <w:tcPr>
            <w:tcW w:w="2677" w:type="dxa"/>
            <w:vMerge w:val="restart"/>
            <w:shd w:val="clear" w:color="auto" w:fill="auto"/>
            <w:noWrap/>
            <w:vAlign w:val="center"/>
          </w:tcPr>
          <w:p w14:paraId="74694F16">
            <w:pPr>
              <w:snapToGrid w:val="0"/>
              <w:spacing w:line="240" w:lineRule="auto"/>
              <w:rPr>
                <w:rFonts w:ascii="宋体" w:hAnsi="宋体"/>
                <w:bCs/>
              </w:rPr>
            </w:pPr>
            <w:r>
              <w:rPr>
                <w:rFonts w:hint="eastAsia" w:ascii="宋体" w:hAnsi="宋体"/>
                <w:bCs/>
              </w:rPr>
              <w:t>6）～7）均为否时判不符合。</w:t>
            </w:r>
          </w:p>
          <w:p w14:paraId="768E9E55">
            <w:pPr>
              <w:snapToGrid w:val="0"/>
              <w:spacing w:line="240" w:lineRule="auto"/>
              <w:rPr>
                <w:rFonts w:ascii="宋体" w:hAnsi="宋体"/>
                <w:bCs/>
              </w:rPr>
            </w:pPr>
            <w:r>
              <w:rPr>
                <w:rFonts w:hint="eastAsia" w:ascii="宋体" w:hAnsi="宋体"/>
                <w:bCs/>
              </w:rPr>
              <w:t>【可建议改进】</w:t>
            </w:r>
          </w:p>
        </w:tc>
        <w:tc>
          <w:tcPr>
            <w:tcW w:w="5269" w:type="dxa"/>
            <w:shd w:val="clear" w:color="auto" w:fill="auto"/>
            <w:noWrap/>
            <w:vAlign w:val="center"/>
          </w:tcPr>
          <w:p w14:paraId="1900FFE8">
            <w:pPr>
              <w:widowControl/>
              <w:numPr>
                <w:ilvl w:val="0"/>
                <w:numId w:val="33"/>
              </w:numPr>
              <w:snapToGrid w:val="0"/>
              <w:spacing w:line="240" w:lineRule="auto"/>
              <w:rPr>
                <w:rFonts w:ascii="宋体" w:hAnsi="宋体"/>
                <w:bCs/>
              </w:rPr>
            </w:pPr>
            <w:r>
              <w:rPr>
                <w:rFonts w:hint="eastAsia" w:ascii="宋体" w:hAnsi="宋体"/>
                <w:bCs/>
              </w:rPr>
              <w:t>企业技术人员范围比较宽泛，包括：生产副总、生产技术部人员、生产车间主任、技术员、工艺员等。重点抽取、生产技术部主管申请产品的技术人员、生产车间主任等；</w:t>
            </w:r>
          </w:p>
          <w:p w14:paraId="06ED7BDD">
            <w:pPr>
              <w:widowControl/>
              <w:numPr>
                <w:ilvl w:val="0"/>
                <w:numId w:val="33"/>
              </w:numPr>
              <w:snapToGrid w:val="0"/>
              <w:spacing w:line="240" w:lineRule="auto"/>
              <w:rPr>
                <w:rFonts w:ascii="宋体" w:hAnsi="宋体"/>
                <w:bCs/>
              </w:rPr>
            </w:pPr>
            <w:r>
              <w:rPr>
                <w:rFonts w:hint="eastAsia" w:ascii="宋体" w:hAnsi="宋体"/>
                <w:bCs/>
              </w:rPr>
              <w:t>对照申请产品标准，提问产品执行标准代号、年号，检验项目及技术指标、出厂检验和型式检验的区别及目的、产品组批，如何把产品标准中的技术要求分解到生产过程等。</w:t>
            </w:r>
          </w:p>
        </w:tc>
      </w:tr>
      <w:tr w14:paraId="41E51D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42" w:type="dxa"/>
            <w:bottom w:w="0" w:type="dxa"/>
            <w:right w:w="42" w:type="dxa"/>
          </w:tblCellMar>
        </w:tblPrEx>
        <w:trPr>
          <w:cantSplit/>
          <w:trHeight w:val="605" w:hRule="atLeast"/>
          <w:jc w:val="center"/>
        </w:trPr>
        <w:tc>
          <w:tcPr>
            <w:tcW w:w="743" w:type="dxa"/>
            <w:vMerge w:val="continue"/>
            <w:shd w:val="clear" w:color="auto" w:fill="auto"/>
            <w:noWrap/>
            <w:vAlign w:val="center"/>
          </w:tcPr>
          <w:p w14:paraId="0B6C206C">
            <w:pPr>
              <w:snapToGrid w:val="0"/>
              <w:spacing w:line="240" w:lineRule="auto"/>
              <w:jc w:val="center"/>
              <w:rPr>
                <w:rFonts w:ascii="宋体" w:hAnsi="宋体"/>
                <w:bCs/>
              </w:rPr>
            </w:pPr>
          </w:p>
        </w:tc>
        <w:tc>
          <w:tcPr>
            <w:tcW w:w="702" w:type="dxa"/>
            <w:gridSpan w:val="2"/>
            <w:vMerge w:val="continue"/>
            <w:shd w:val="clear" w:color="auto" w:fill="auto"/>
            <w:noWrap/>
            <w:vAlign w:val="center"/>
          </w:tcPr>
          <w:p w14:paraId="2C56C41E">
            <w:pPr>
              <w:snapToGrid w:val="0"/>
              <w:spacing w:line="240" w:lineRule="auto"/>
              <w:jc w:val="center"/>
              <w:rPr>
                <w:rFonts w:ascii="宋体" w:hAnsi="宋体"/>
                <w:bCs/>
              </w:rPr>
            </w:pPr>
          </w:p>
        </w:tc>
        <w:tc>
          <w:tcPr>
            <w:tcW w:w="4534" w:type="dxa"/>
            <w:shd w:val="clear" w:color="auto" w:fill="auto"/>
            <w:noWrap/>
            <w:vAlign w:val="center"/>
          </w:tcPr>
          <w:p w14:paraId="5CF81150">
            <w:pPr>
              <w:snapToGrid w:val="0"/>
              <w:spacing w:line="240" w:lineRule="auto"/>
              <w:rPr>
                <w:rFonts w:ascii="宋体" w:hAnsi="宋体"/>
                <w:bCs/>
              </w:rPr>
            </w:pPr>
            <w:r>
              <w:rPr>
                <w:rFonts w:hint="eastAsia" w:ascii="宋体" w:hAnsi="宋体"/>
                <w:bCs/>
              </w:rPr>
              <w:t>7）是否具有相关产品专业技术知识。</w:t>
            </w:r>
          </w:p>
        </w:tc>
        <w:tc>
          <w:tcPr>
            <w:tcW w:w="2677" w:type="dxa"/>
            <w:vMerge w:val="continue"/>
            <w:shd w:val="clear" w:color="auto" w:fill="auto"/>
            <w:noWrap/>
            <w:vAlign w:val="center"/>
          </w:tcPr>
          <w:p w14:paraId="264284D9">
            <w:pPr>
              <w:snapToGrid w:val="0"/>
              <w:spacing w:line="240" w:lineRule="auto"/>
              <w:rPr>
                <w:rFonts w:ascii="宋体" w:hAnsi="宋体"/>
                <w:bCs/>
              </w:rPr>
            </w:pPr>
          </w:p>
        </w:tc>
        <w:tc>
          <w:tcPr>
            <w:tcW w:w="5269" w:type="dxa"/>
            <w:shd w:val="clear" w:color="auto" w:fill="auto"/>
            <w:noWrap/>
            <w:vAlign w:val="center"/>
          </w:tcPr>
          <w:p w14:paraId="3790F86A">
            <w:pPr>
              <w:snapToGrid w:val="0"/>
              <w:spacing w:line="240" w:lineRule="auto"/>
              <w:rPr>
                <w:rFonts w:ascii="宋体" w:hAnsi="宋体"/>
                <w:bCs/>
              </w:rPr>
            </w:pPr>
            <w:r>
              <w:rPr>
                <w:rFonts w:hint="eastAsia" w:ascii="宋体" w:hAnsi="宋体"/>
                <w:bCs/>
              </w:rPr>
              <w:t>1、对照技术工艺文件，考核其对申请产品工艺流程、关键质量控制点的设置是否正确表述、工艺参数指标偏离应采取的纠正措施等。</w:t>
            </w:r>
          </w:p>
        </w:tc>
      </w:tr>
      <w:tr w14:paraId="050D5D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42" w:type="dxa"/>
            <w:bottom w:w="0" w:type="dxa"/>
            <w:right w:w="42" w:type="dxa"/>
          </w:tblCellMar>
        </w:tblPrEx>
        <w:trPr>
          <w:cantSplit/>
          <w:trHeight w:val="652" w:hRule="atLeast"/>
          <w:jc w:val="center"/>
        </w:trPr>
        <w:tc>
          <w:tcPr>
            <w:tcW w:w="743" w:type="dxa"/>
            <w:shd w:val="clear" w:color="auto" w:fill="auto"/>
            <w:noWrap/>
            <w:vAlign w:val="center"/>
          </w:tcPr>
          <w:p w14:paraId="657A1D0C">
            <w:pPr>
              <w:snapToGrid w:val="0"/>
              <w:spacing w:line="240" w:lineRule="auto"/>
              <w:ind w:hanging="8"/>
              <w:jc w:val="center"/>
              <w:rPr>
                <w:rFonts w:ascii="宋体" w:hAnsi="宋体"/>
                <w:bCs/>
              </w:rPr>
            </w:pPr>
            <w:r>
              <w:rPr>
                <w:rFonts w:hint="eastAsia" w:ascii="宋体" w:hAnsi="宋体"/>
                <w:bCs/>
              </w:rPr>
              <w:t>2.2</w:t>
            </w:r>
          </w:p>
        </w:tc>
        <w:tc>
          <w:tcPr>
            <w:tcW w:w="702" w:type="dxa"/>
            <w:gridSpan w:val="2"/>
            <w:shd w:val="clear" w:color="auto" w:fill="auto"/>
            <w:noWrap/>
            <w:vAlign w:val="center"/>
          </w:tcPr>
          <w:p w14:paraId="189AE1A0">
            <w:pPr>
              <w:snapToGrid w:val="0"/>
              <w:spacing w:line="240" w:lineRule="auto"/>
              <w:jc w:val="center"/>
              <w:rPr>
                <w:rFonts w:ascii="宋体" w:hAnsi="宋体"/>
                <w:bCs/>
              </w:rPr>
            </w:pPr>
            <w:r>
              <w:rPr>
                <w:rFonts w:hint="eastAsia" w:ascii="宋体" w:hAnsi="宋体"/>
                <w:bCs/>
              </w:rPr>
              <w:t>检验人员</w:t>
            </w:r>
          </w:p>
        </w:tc>
        <w:tc>
          <w:tcPr>
            <w:tcW w:w="4534" w:type="dxa"/>
            <w:shd w:val="clear" w:color="auto" w:fill="auto"/>
            <w:noWrap/>
            <w:vAlign w:val="center"/>
          </w:tcPr>
          <w:p w14:paraId="39DB6929">
            <w:pPr>
              <w:snapToGrid w:val="0"/>
              <w:spacing w:line="240" w:lineRule="auto"/>
              <w:rPr>
                <w:rFonts w:ascii="宋体" w:hAnsi="宋体"/>
                <w:bCs/>
              </w:rPr>
            </w:pPr>
            <w:r>
              <w:rPr>
                <w:rFonts w:hint="eastAsia" w:ascii="宋体" w:hAnsi="宋体"/>
                <w:bCs/>
              </w:rPr>
              <w:t>8）现场观察检验人员进行进货检验、过程检验、出厂检验，检验人员是否能够规范操作，其操作是否符合检验规程，并正确作出判断。</w:t>
            </w:r>
          </w:p>
        </w:tc>
        <w:tc>
          <w:tcPr>
            <w:tcW w:w="2677" w:type="dxa"/>
            <w:shd w:val="clear" w:color="auto" w:fill="auto"/>
            <w:noWrap/>
            <w:vAlign w:val="center"/>
          </w:tcPr>
          <w:p w14:paraId="1D2EDA62">
            <w:pPr>
              <w:snapToGrid w:val="0"/>
              <w:spacing w:line="240" w:lineRule="auto"/>
              <w:rPr>
                <w:rFonts w:ascii="宋体" w:hAnsi="宋体"/>
                <w:bCs/>
              </w:rPr>
            </w:pPr>
            <w:r>
              <w:rPr>
                <w:rFonts w:hint="eastAsia" w:ascii="宋体" w:hAnsi="宋体"/>
                <w:bCs/>
              </w:rPr>
              <w:t>检验人员操作不正确，则判不符合。</w:t>
            </w:r>
          </w:p>
          <w:p w14:paraId="56C2E25F">
            <w:pPr>
              <w:snapToGrid w:val="0"/>
              <w:spacing w:line="240" w:lineRule="auto"/>
              <w:rPr>
                <w:rFonts w:ascii="宋体" w:hAnsi="宋体"/>
                <w:bCs/>
              </w:rPr>
            </w:pPr>
            <w:r>
              <w:rPr>
                <w:rFonts w:hint="eastAsia" w:ascii="宋体" w:hAnsi="宋体"/>
                <w:bCs/>
              </w:rPr>
              <w:t>【可建议改进】</w:t>
            </w:r>
          </w:p>
        </w:tc>
        <w:tc>
          <w:tcPr>
            <w:tcW w:w="5269" w:type="dxa"/>
            <w:shd w:val="clear" w:color="auto" w:fill="auto"/>
            <w:noWrap/>
            <w:vAlign w:val="center"/>
          </w:tcPr>
          <w:p w14:paraId="1D85F8C6">
            <w:pPr>
              <w:snapToGrid w:val="0"/>
              <w:spacing w:line="240" w:lineRule="auto"/>
              <w:rPr>
                <w:rFonts w:ascii="宋体" w:hAnsi="宋体"/>
                <w:bCs/>
              </w:rPr>
            </w:pPr>
            <w:r>
              <w:rPr>
                <w:rFonts w:hint="eastAsia" w:ascii="宋体" w:hAnsi="宋体"/>
                <w:bCs/>
              </w:rPr>
              <w:t>对照检验规程，采取现场提问、座谈、让其描述检验步骤、观察检验操作等方式。</w:t>
            </w:r>
          </w:p>
        </w:tc>
      </w:tr>
      <w:tr w14:paraId="045121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42" w:type="dxa"/>
            <w:bottom w:w="0" w:type="dxa"/>
            <w:right w:w="42" w:type="dxa"/>
          </w:tblCellMar>
        </w:tblPrEx>
        <w:trPr>
          <w:cantSplit/>
          <w:trHeight w:val="1942" w:hRule="atLeast"/>
          <w:jc w:val="center"/>
        </w:trPr>
        <w:tc>
          <w:tcPr>
            <w:tcW w:w="743" w:type="dxa"/>
            <w:shd w:val="clear" w:color="auto" w:fill="auto"/>
            <w:noWrap/>
            <w:vAlign w:val="center"/>
          </w:tcPr>
          <w:p w14:paraId="41877CD4">
            <w:pPr>
              <w:snapToGrid w:val="0"/>
              <w:spacing w:line="240" w:lineRule="auto"/>
              <w:ind w:hanging="8"/>
              <w:jc w:val="center"/>
              <w:rPr>
                <w:rFonts w:ascii="宋体" w:hAnsi="宋体"/>
                <w:bCs/>
              </w:rPr>
            </w:pPr>
            <w:r>
              <w:rPr>
                <w:rFonts w:hint="eastAsia" w:ascii="宋体" w:hAnsi="宋体"/>
                <w:bCs/>
              </w:rPr>
              <w:t>2.3</w:t>
            </w:r>
          </w:p>
        </w:tc>
        <w:tc>
          <w:tcPr>
            <w:tcW w:w="702" w:type="dxa"/>
            <w:gridSpan w:val="2"/>
            <w:shd w:val="clear" w:color="auto" w:fill="auto"/>
            <w:noWrap/>
            <w:vAlign w:val="center"/>
          </w:tcPr>
          <w:p w14:paraId="79332228">
            <w:pPr>
              <w:snapToGrid w:val="0"/>
              <w:spacing w:line="240" w:lineRule="auto"/>
              <w:jc w:val="center"/>
              <w:rPr>
                <w:rFonts w:ascii="宋体" w:hAnsi="宋体"/>
                <w:bCs/>
              </w:rPr>
            </w:pPr>
            <w:r>
              <w:rPr>
                <w:rFonts w:hint="eastAsia" w:ascii="宋体" w:hAnsi="宋体"/>
                <w:bCs/>
              </w:rPr>
              <w:t>操作工人</w:t>
            </w:r>
          </w:p>
        </w:tc>
        <w:tc>
          <w:tcPr>
            <w:tcW w:w="4534" w:type="dxa"/>
            <w:shd w:val="clear" w:color="auto" w:fill="auto"/>
            <w:noWrap/>
            <w:vAlign w:val="center"/>
          </w:tcPr>
          <w:p w14:paraId="62AF7A8B">
            <w:pPr>
              <w:snapToGrid w:val="0"/>
              <w:spacing w:line="240" w:lineRule="auto"/>
              <w:rPr>
                <w:rFonts w:ascii="宋体" w:hAnsi="宋体"/>
                <w:bCs/>
              </w:rPr>
            </w:pPr>
            <w:r>
              <w:rPr>
                <w:rFonts w:hint="eastAsia" w:ascii="宋体" w:hAnsi="宋体"/>
                <w:bCs/>
              </w:rPr>
              <w:t>9）现场核查每一关键工序、质量控制点实际生产操作情况，工人是否能规范的操作，其操作是否符合技术工艺文件的规定。</w:t>
            </w:r>
          </w:p>
        </w:tc>
        <w:tc>
          <w:tcPr>
            <w:tcW w:w="2677" w:type="dxa"/>
            <w:shd w:val="clear" w:color="auto" w:fill="auto"/>
            <w:noWrap/>
            <w:vAlign w:val="center"/>
          </w:tcPr>
          <w:p w14:paraId="228D05B8">
            <w:pPr>
              <w:snapToGrid w:val="0"/>
              <w:spacing w:line="240" w:lineRule="auto"/>
              <w:rPr>
                <w:rFonts w:ascii="宋体" w:hAnsi="宋体"/>
                <w:bCs/>
              </w:rPr>
            </w:pPr>
            <w:r>
              <w:rPr>
                <w:rFonts w:hint="eastAsia" w:ascii="宋体" w:hAnsi="宋体"/>
                <w:bCs/>
              </w:rPr>
              <w:t>关键工序、质量控制点工人操作均不正确，则判不符合。</w:t>
            </w:r>
          </w:p>
          <w:p w14:paraId="6671E056">
            <w:pPr>
              <w:snapToGrid w:val="0"/>
              <w:spacing w:line="240" w:lineRule="auto"/>
              <w:rPr>
                <w:rFonts w:ascii="宋体" w:hAnsi="宋体"/>
                <w:bCs/>
              </w:rPr>
            </w:pPr>
            <w:r>
              <w:rPr>
                <w:rFonts w:hint="eastAsia" w:ascii="宋体" w:hAnsi="宋体"/>
                <w:bCs/>
              </w:rPr>
              <w:t>【可建议改进】</w:t>
            </w:r>
          </w:p>
        </w:tc>
        <w:tc>
          <w:tcPr>
            <w:tcW w:w="5269" w:type="dxa"/>
            <w:shd w:val="clear" w:color="auto" w:fill="auto"/>
            <w:noWrap/>
            <w:vAlign w:val="center"/>
          </w:tcPr>
          <w:p w14:paraId="66AC0109">
            <w:pPr>
              <w:snapToGrid w:val="0"/>
              <w:spacing w:line="240" w:lineRule="auto"/>
              <w:rPr>
                <w:rFonts w:ascii="宋体" w:hAnsi="宋体"/>
                <w:bCs/>
              </w:rPr>
            </w:pPr>
            <w:r>
              <w:rPr>
                <w:rFonts w:hint="eastAsia" w:ascii="宋体" w:hAnsi="宋体"/>
                <w:bCs/>
              </w:rPr>
              <w:t>现场对照生产操作规程（如采取DCS控制方式，则DCS操作人员必考），采取让其口述工艺规程操作步骤、关键质量控制点控制参数的控制指标区间范围、系统出现偏离控制指标的纠偏措施等，看其是否掌握、熟悉本岗位的操作规程步骤、工艺参数指标及纠偏等是否与生产操作规程内容一致。</w:t>
            </w:r>
          </w:p>
        </w:tc>
      </w:tr>
      <w:tr w14:paraId="6400AE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42" w:type="dxa"/>
            <w:bottom w:w="0" w:type="dxa"/>
            <w:right w:w="42" w:type="dxa"/>
          </w:tblCellMar>
        </w:tblPrEx>
        <w:trPr>
          <w:cantSplit/>
          <w:trHeight w:val="540" w:hRule="atLeast"/>
          <w:jc w:val="center"/>
        </w:trPr>
        <w:tc>
          <w:tcPr>
            <w:tcW w:w="743" w:type="dxa"/>
            <w:shd w:val="clear" w:color="auto" w:fill="auto"/>
            <w:noWrap/>
            <w:vAlign w:val="center"/>
          </w:tcPr>
          <w:p w14:paraId="10A3448E">
            <w:pPr>
              <w:snapToGrid w:val="0"/>
              <w:spacing w:line="240" w:lineRule="auto"/>
              <w:jc w:val="center"/>
              <w:rPr>
                <w:rFonts w:ascii="宋体" w:hAnsi="宋体"/>
                <w:b/>
                <w:bCs/>
              </w:rPr>
            </w:pPr>
            <w:r>
              <w:rPr>
                <w:rFonts w:hint="eastAsia" w:ascii="宋体" w:hAnsi="宋体"/>
                <w:b/>
                <w:bCs/>
              </w:rPr>
              <w:t>3</w:t>
            </w:r>
          </w:p>
        </w:tc>
        <w:tc>
          <w:tcPr>
            <w:tcW w:w="13182" w:type="dxa"/>
            <w:gridSpan w:val="5"/>
            <w:shd w:val="clear" w:color="auto" w:fill="auto"/>
            <w:noWrap/>
            <w:vAlign w:val="center"/>
          </w:tcPr>
          <w:p w14:paraId="1B439CCD">
            <w:pPr>
              <w:snapToGrid w:val="0"/>
              <w:spacing w:line="240" w:lineRule="auto"/>
              <w:rPr>
                <w:rFonts w:ascii="宋体" w:hAnsi="宋体"/>
                <w:bCs/>
              </w:rPr>
            </w:pPr>
            <w:r>
              <w:rPr>
                <w:rFonts w:hint="eastAsia" w:ascii="宋体" w:hAnsi="宋体"/>
                <w:b/>
                <w:bCs/>
              </w:rPr>
              <w:t>生产和检验设施设备</w:t>
            </w:r>
          </w:p>
        </w:tc>
      </w:tr>
      <w:tr w14:paraId="1917C5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42" w:type="dxa"/>
            <w:bottom w:w="0" w:type="dxa"/>
            <w:right w:w="42" w:type="dxa"/>
          </w:tblCellMar>
        </w:tblPrEx>
        <w:trPr>
          <w:cantSplit/>
          <w:trHeight w:val="698" w:hRule="atLeast"/>
          <w:jc w:val="center"/>
        </w:trPr>
        <w:tc>
          <w:tcPr>
            <w:tcW w:w="743" w:type="dxa"/>
            <w:shd w:val="clear" w:color="auto" w:fill="auto"/>
            <w:noWrap/>
            <w:vAlign w:val="center"/>
          </w:tcPr>
          <w:p w14:paraId="6CEBEB82">
            <w:pPr>
              <w:snapToGrid w:val="0"/>
              <w:spacing w:line="240" w:lineRule="auto"/>
              <w:jc w:val="center"/>
              <w:rPr>
                <w:rFonts w:ascii="宋体" w:hAnsi="宋体"/>
                <w:bCs/>
              </w:rPr>
            </w:pPr>
            <w:r>
              <w:rPr>
                <w:rFonts w:hint="eastAsia" w:ascii="宋体" w:hAnsi="宋体"/>
                <w:bCs/>
              </w:rPr>
              <w:t>3.1</w:t>
            </w:r>
          </w:p>
        </w:tc>
        <w:tc>
          <w:tcPr>
            <w:tcW w:w="702" w:type="dxa"/>
            <w:gridSpan w:val="2"/>
            <w:shd w:val="clear" w:color="auto" w:fill="auto"/>
            <w:noWrap/>
            <w:vAlign w:val="center"/>
          </w:tcPr>
          <w:p w14:paraId="4A619F93">
            <w:pPr>
              <w:snapToGrid w:val="0"/>
              <w:spacing w:line="240" w:lineRule="auto"/>
              <w:jc w:val="center"/>
              <w:rPr>
                <w:rFonts w:ascii="宋体" w:hAnsi="宋体"/>
                <w:bCs/>
              </w:rPr>
            </w:pPr>
            <w:r>
              <w:rPr>
                <w:rFonts w:hint="eastAsia" w:ascii="宋体" w:hAnsi="宋体"/>
                <w:bCs/>
              </w:rPr>
              <w:t>基础设施</w:t>
            </w:r>
          </w:p>
        </w:tc>
        <w:tc>
          <w:tcPr>
            <w:tcW w:w="4534" w:type="dxa"/>
            <w:shd w:val="clear" w:color="auto" w:fill="auto"/>
            <w:noWrap/>
            <w:vAlign w:val="center"/>
          </w:tcPr>
          <w:p w14:paraId="28080410">
            <w:pPr>
              <w:snapToGrid w:val="0"/>
              <w:spacing w:line="240" w:lineRule="auto"/>
              <w:rPr>
                <w:rFonts w:ascii="宋体" w:hAnsi="宋体"/>
                <w:bCs/>
              </w:rPr>
            </w:pPr>
            <w:r>
              <w:rPr>
                <w:rFonts w:hint="eastAsia" w:ascii="宋体" w:hAnsi="宋体"/>
                <w:bCs/>
              </w:rPr>
              <w:t>10）是否具备满足其生产、检验所需的工作场所和设施，并运行正常。</w:t>
            </w:r>
          </w:p>
        </w:tc>
        <w:tc>
          <w:tcPr>
            <w:tcW w:w="2677" w:type="dxa"/>
            <w:shd w:val="clear" w:color="auto" w:fill="auto"/>
            <w:noWrap/>
            <w:vAlign w:val="center"/>
          </w:tcPr>
          <w:p w14:paraId="71025578">
            <w:pPr>
              <w:snapToGrid w:val="0"/>
              <w:spacing w:line="240" w:lineRule="auto"/>
              <w:rPr>
                <w:rFonts w:ascii="宋体" w:hAnsi="宋体"/>
                <w:bCs/>
              </w:rPr>
            </w:pPr>
            <w:r>
              <w:rPr>
                <w:rFonts w:hint="eastAsia" w:ascii="宋体" w:hAnsi="宋体"/>
                <w:bCs/>
              </w:rPr>
              <w:t>现场核对并观察设施状况，如为否时，判不符合。</w:t>
            </w:r>
          </w:p>
          <w:p w14:paraId="75E108A5">
            <w:pPr>
              <w:snapToGrid w:val="0"/>
              <w:spacing w:line="240" w:lineRule="auto"/>
              <w:rPr>
                <w:rFonts w:ascii="宋体" w:hAnsi="宋体"/>
                <w:bCs/>
              </w:rPr>
            </w:pPr>
            <w:r>
              <w:rPr>
                <w:rFonts w:hint="eastAsia" w:ascii="宋体" w:hAnsi="宋体"/>
                <w:bCs/>
              </w:rPr>
              <w:t>【否决项】</w:t>
            </w:r>
          </w:p>
        </w:tc>
        <w:tc>
          <w:tcPr>
            <w:tcW w:w="5269" w:type="dxa"/>
            <w:shd w:val="clear" w:color="auto" w:fill="auto"/>
            <w:noWrap/>
            <w:vAlign w:val="center"/>
          </w:tcPr>
          <w:p w14:paraId="3EFDE6B3">
            <w:pPr>
              <w:snapToGrid w:val="0"/>
              <w:spacing w:line="240" w:lineRule="auto"/>
              <w:rPr>
                <w:rFonts w:ascii="宋体" w:hAnsi="宋体"/>
                <w:bCs/>
              </w:rPr>
            </w:pPr>
            <w:r>
              <w:rPr>
                <w:rFonts w:hint="eastAsia" w:ascii="宋体" w:hAnsi="宋体"/>
                <w:bCs/>
              </w:rPr>
              <w:t>对照《细则》表3-1、企业填写的申请书附件2-1、2-3现场核对，生产和检验设施应在正常运行生产，如不在生产，或者出现拆卸检修等情况，不予通过。</w:t>
            </w:r>
          </w:p>
        </w:tc>
      </w:tr>
      <w:tr w14:paraId="1D0FD0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42" w:type="dxa"/>
            <w:bottom w:w="0" w:type="dxa"/>
            <w:right w:w="42" w:type="dxa"/>
          </w:tblCellMar>
        </w:tblPrEx>
        <w:trPr>
          <w:cantSplit/>
          <w:trHeight w:val="4462" w:hRule="atLeast"/>
          <w:jc w:val="center"/>
        </w:trPr>
        <w:tc>
          <w:tcPr>
            <w:tcW w:w="743" w:type="dxa"/>
            <w:shd w:val="clear" w:color="auto" w:fill="auto"/>
            <w:noWrap/>
            <w:vAlign w:val="center"/>
          </w:tcPr>
          <w:p w14:paraId="456120CF">
            <w:pPr>
              <w:snapToGrid w:val="0"/>
              <w:spacing w:line="240" w:lineRule="auto"/>
              <w:jc w:val="center"/>
              <w:rPr>
                <w:rFonts w:ascii="宋体" w:hAnsi="宋体"/>
                <w:bCs/>
              </w:rPr>
            </w:pPr>
            <w:r>
              <w:rPr>
                <w:rFonts w:hint="eastAsia" w:ascii="宋体" w:hAnsi="宋体"/>
                <w:bCs/>
              </w:rPr>
              <w:t>3.2</w:t>
            </w:r>
          </w:p>
        </w:tc>
        <w:tc>
          <w:tcPr>
            <w:tcW w:w="702" w:type="dxa"/>
            <w:gridSpan w:val="2"/>
            <w:shd w:val="clear" w:color="auto" w:fill="auto"/>
            <w:noWrap/>
            <w:vAlign w:val="center"/>
          </w:tcPr>
          <w:p w14:paraId="3A89E625">
            <w:pPr>
              <w:snapToGrid w:val="0"/>
              <w:spacing w:line="240" w:lineRule="auto"/>
              <w:jc w:val="center"/>
              <w:rPr>
                <w:rFonts w:ascii="宋体" w:hAnsi="宋体"/>
                <w:bCs/>
              </w:rPr>
            </w:pPr>
            <w:r>
              <w:rPr>
                <w:rFonts w:hint="eastAsia" w:ascii="宋体" w:hAnsi="宋体"/>
                <w:bCs/>
              </w:rPr>
              <w:t>设备工装</w:t>
            </w:r>
          </w:p>
        </w:tc>
        <w:tc>
          <w:tcPr>
            <w:tcW w:w="4534" w:type="dxa"/>
            <w:shd w:val="clear" w:color="auto" w:fill="auto"/>
            <w:noWrap/>
            <w:vAlign w:val="center"/>
          </w:tcPr>
          <w:p w14:paraId="5188308D">
            <w:pPr>
              <w:snapToGrid w:val="0"/>
              <w:spacing w:line="240" w:lineRule="auto"/>
              <w:rPr>
                <w:rFonts w:ascii="宋体" w:hAnsi="宋体"/>
                <w:bCs/>
              </w:rPr>
            </w:pPr>
            <w:r>
              <w:rPr>
                <w:rFonts w:hint="eastAsia" w:ascii="宋体" w:hAnsi="宋体"/>
                <w:bCs/>
              </w:rPr>
              <w:t>11）企业是否具有细则表3-2规定、与其生产产品、生产工艺及生产方式相适应的生产设备和工艺装备；其性能和精度应能满足生产合格产品的要求，并运行正常。</w:t>
            </w:r>
          </w:p>
        </w:tc>
        <w:tc>
          <w:tcPr>
            <w:tcW w:w="2677" w:type="dxa"/>
            <w:shd w:val="clear" w:color="auto" w:fill="auto"/>
            <w:noWrap/>
            <w:vAlign w:val="center"/>
          </w:tcPr>
          <w:p w14:paraId="7271B232">
            <w:pPr>
              <w:snapToGrid w:val="0"/>
              <w:spacing w:line="240" w:lineRule="auto"/>
              <w:rPr>
                <w:rFonts w:ascii="宋体" w:hAnsi="宋体"/>
                <w:bCs/>
              </w:rPr>
            </w:pPr>
            <w:r>
              <w:rPr>
                <w:rFonts w:hint="eastAsia" w:ascii="宋体" w:hAnsi="宋体"/>
                <w:bCs/>
              </w:rPr>
              <w:t>对照细则、企业设备档案及现场进行核对，如为否，判不符合。</w:t>
            </w:r>
          </w:p>
          <w:p w14:paraId="79BB95C7">
            <w:pPr>
              <w:snapToGrid w:val="0"/>
              <w:spacing w:line="240" w:lineRule="auto"/>
              <w:rPr>
                <w:rFonts w:ascii="宋体" w:hAnsi="宋体"/>
                <w:bCs/>
              </w:rPr>
            </w:pPr>
            <w:r>
              <w:rPr>
                <w:rFonts w:hint="eastAsia" w:ascii="宋体" w:hAnsi="宋体"/>
                <w:bCs/>
              </w:rPr>
              <w:t>【否决项】</w:t>
            </w:r>
          </w:p>
        </w:tc>
        <w:tc>
          <w:tcPr>
            <w:tcW w:w="5269" w:type="dxa"/>
            <w:shd w:val="clear" w:color="auto" w:fill="auto"/>
            <w:noWrap/>
            <w:vAlign w:val="center"/>
          </w:tcPr>
          <w:p w14:paraId="0DB50A75">
            <w:pPr>
              <w:snapToGrid w:val="0"/>
              <w:spacing w:line="240" w:lineRule="auto"/>
              <w:rPr>
                <w:rFonts w:ascii="宋体" w:hAnsi="宋体"/>
                <w:bCs/>
              </w:rPr>
            </w:pPr>
            <w:r>
              <w:rPr>
                <w:rFonts w:hint="eastAsia" w:ascii="宋体" w:hAnsi="宋体"/>
                <w:bCs/>
              </w:rPr>
              <w:t>1、对照《细则》表3-1、企业填写的申请书附件2-1、2-3现场核对，现场查看（对照设计文件、工艺文件等核查）。</w:t>
            </w:r>
          </w:p>
          <w:p w14:paraId="5AD13B88">
            <w:pPr>
              <w:snapToGrid w:val="0"/>
              <w:spacing w:line="240" w:lineRule="auto"/>
              <w:rPr>
                <w:rFonts w:ascii="宋体" w:hAnsi="宋体"/>
                <w:bCs/>
              </w:rPr>
            </w:pPr>
            <w:r>
              <w:rPr>
                <w:rFonts w:hint="eastAsia" w:ascii="宋体" w:hAnsi="宋体"/>
                <w:bCs/>
              </w:rPr>
              <w:t>2、通过设计文件、检验文件及记录，验证企业生产装置性能和精度是否满足生产申报规格产品（如设备只能生产低规格的，但却申报了高规格的产品；生产能力与申报的不一致）。</w:t>
            </w:r>
          </w:p>
          <w:p w14:paraId="275C0FC7">
            <w:pPr>
              <w:snapToGrid w:val="0"/>
              <w:spacing w:line="240" w:lineRule="auto"/>
              <w:rPr>
                <w:rFonts w:ascii="宋体" w:hAnsi="宋体"/>
                <w:bCs/>
              </w:rPr>
            </w:pPr>
            <w:r>
              <w:rPr>
                <w:rFonts w:hint="eastAsia" w:ascii="宋体" w:hAnsi="宋体"/>
                <w:bCs/>
              </w:rPr>
              <w:t>注：如有必要，应：1、查年度维护保养计划（根据企业生产实际编制）；2、查生产用测量设备的设备一览表、周检计划表、量值溯源证书等是否齐全（一些企业不重视对生产用测量设备的溯源，认为麻烦，花钱多，这种思想是不正确的，因为我们是否能生产出合格产品，是通过测量设备来控制的）。</w:t>
            </w:r>
          </w:p>
        </w:tc>
      </w:tr>
      <w:tr w14:paraId="029F43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42" w:type="dxa"/>
            <w:bottom w:w="0" w:type="dxa"/>
            <w:right w:w="42" w:type="dxa"/>
          </w:tblCellMar>
        </w:tblPrEx>
        <w:trPr>
          <w:cantSplit/>
          <w:trHeight w:val="1082" w:hRule="atLeast"/>
          <w:jc w:val="center"/>
        </w:trPr>
        <w:tc>
          <w:tcPr>
            <w:tcW w:w="743" w:type="dxa"/>
            <w:vMerge w:val="restart"/>
            <w:shd w:val="clear" w:color="auto" w:fill="auto"/>
            <w:noWrap/>
            <w:vAlign w:val="center"/>
          </w:tcPr>
          <w:p w14:paraId="7C4F122D">
            <w:pPr>
              <w:snapToGrid w:val="0"/>
              <w:spacing w:line="240" w:lineRule="auto"/>
              <w:jc w:val="center"/>
              <w:rPr>
                <w:rFonts w:ascii="宋体" w:hAnsi="宋体"/>
                <w:bCs/>
              </w:rPr>
            </w:pPr>
            <w:r>
              <w:rPr>
                <w:rFonts w:hint="eastAsia" w:ascii="宋体" w:hAnsi="宋体"/>
                <w:bCs/>
              </w:rPr>
              <w:t>3.3</w:t>
            </w:r>
          </w:p>
        </w:tc>
        <w:tc>
          <w:tcPr>
            <w:tcW w:w="702" w:type="dxa"/>
            <w:gridSpan w:val="2"/>
            <w:vMerge w:val="restart"/>
            <w:shd w:val="clear" w:color="auto" w:fill="auto"/>
            <w:noWrap/>
            <w:vAlign w:val="center"/>
          </w:tcPr>
          <w:p w14:paraId="76FB600E">
            <w:pPr>
              <w:snapToGrid w:val="0"/>
              <w:spacing w:line="240" w:lineRule="auto"/>
              <w:jc w:val="center"/>
              <w:rPr>
                <w:rFonts w:ascii="宋体" w:hAnsi="宋体"/>
                <w:bCs/>
              </w:rPr>
            </w:pPr>
            <w:r>
              <w:rPr>
                <w:rFonts w:hint="eastAsia" w:ascii="宋体" w:hAnsi="宋体"/>
                <w:bCs/>
              </w:rPr>
              <w:t>检验设备</w:t>
            </w:r>
          </w:p>
        </w:tc>
        <w:tc>
          <w:tcPr>
            <w:tcW w:w="4534" w:type="dxa"/>
            <w:shd w:val="clear" w:color="auto" w:fill="auto"/>
            <w:noWrap/>
            <w:vAlign w:val="center"/>
          </w:tcPr>
          <w:p w14:paraId="40700AC9">
            <w:pPr>
              <w:snapToGrid w:val="0"/>
              <w:spacing w:line="240" w:lineRule="auto"/>
              <w:rPr>
                <w:rFonts w:ascii="宋体" w:hAnsi="宋体"/>
                <w:bCs/>
              </w:rPr>
            </w:pPr>
            <w:r>
              <w:rPr>
                <w:rFonts w:hint="eastAsia" w:ascii="宋体" w:hAnsi="宋体"/>
                <w:bCs/>
              </w:rPr>
              <w:t>12）企业是否具有细则表3-4规定、与其生产产品、生产工艺及生产方式相适应的采购进货检验、生产过程检验、成品出厂检验所需的检验仪器设备；其性能和精度应能满足相关标准规定的检验要求；并在检定或校准有效期内使用。</w:t>
            </w:r>
          </w:p>
        </w:tc>
        <w:tc>
          <w:tcPr>
            <w:tcW w:w="2677" w:type="dxa"/>
            <w:vMerge w:val="restart"/>
            <w:shd w:val="clear" w:color="auto" w:fill="auto"/>
            <w:noWrap/>
            <w:vAlign w:val="center"/>
          </w:tcPr>
          <w:p w14:paraId="1A75C7DF">
            <w:pPr>
              <w:snapToGrid w:val="0"/>
              <w:spacing w:line="240" w:lineRule="auto"/>
              <w:rPr>
                <w:rFonts w:ascii="宋体" w:hAnsi="宋体"/>
                <w:bCs/>
              </w:rPr>
            </w:pPr>
            <w:r>
              <w:rPr>
                <w:rFonts w:hint="eastAsia" w:ascii="宋体" w:hAnsi="宋体"/>
                <w:bCs/>
              </w:rPr>
              <w:t>1.对照细则、现场进行核对并观察仪器设备运行状况，12）为否时，判不符合。</w:t>
            </w:r>
          </w:p>
          <w:p w14:paraId="2D5F9C16">
            <w:pPr>
              <w:snapToGrid w:val="0"/>
              <w:spacing w:line="240" w:lineRule="auto"/>
              <w:rPr>
                <w:rFonts w:ascii="宋体" w:hAnsi="宋体"/>
                <w:bCs/>
              </w:rPr>
            </w:pPr>
            <w:r>
              <w:rPr>
                <w:rFonts w:hint="eastAsia" w:ascii="宋体" w:hAnsi="宋体"/>
                <w:bCs/>
              </w:rPr>
              <w:t>2、如为共建的，应在核查报告中载明。</w:t>
            </w:r>
          </w:p>
          <w:p w14:paraId="77EAAD0D">
            <w:pPr>
              <w:snapToGrid w:val="0"/>
              <w:spacing w:line="240" w:lineRule="auto"/>
              <w:rPr>
                <w:rFonts w:ascii="宋体" w:hAnsi="宋体"/>
                <w:bCs/>
              </w:rPr>
            </w:pPr>
            <w:r>
              <w:rPr>
                <w:rFonts w:hint="eastAsia" w:ascii="宋体" w:hAnsi="宋体"/>
                <w:bCs/>
              </w:rPr>
              <w:t>【否决项】</w:t>
            </w:r>
          </w:p>
        </w:tc>
        <w:tc>
          <w:tcPr>
            <w:tcW w:w="5269" w:type="dxa"/>
            <w:shd w:val="clear" w:color="auto" w:fill="auto"/>
            <w:noWrap/>
            <w:vAlign w:val="center"/>
          </w:tcPr>
          <w:p w14:paraId="3D527A21">
            <w:pPr>
              <w:snapToGrid w:val="0"/>
              <w:spacing w:line="240" w:lineRule="auto"/>
              <w:rPr>
                <w:rFonts w:ascii="宋体" w:hAnsi="宋体"/>
                <w:bCs/>
              </w:rPr>
            </w:pPr>
            <w:r>
              <w:rPr>
                <w:rFonts w:hint="eastAsia" w:ascii="宋体" w:hAnsi="宋体"/>
                <w:bCs/>
              </w:rPr>
              <w:t>对照《细则》表3-4、企业填写的申请书附件2-3现场核对，现场查看是否具备相应的原料、过程和成品检验必备的检验仪器设备，性能和精度能否满足细则和检验方法标准的要求。应重点关注必备辅助检验工装的配备、测量设备的精度是否满足要求。查检验用测量设备的设备一览表、周检计划表、量值溯源证书等是否齐全。</w:t>
            </w:r>
          </w:p>
        </w:tc>
      </w:tr>
      <w:tr w14:paraId="1B4387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42" w:type="dxa"/>
            <w:bottom w:w="0" w:type="dxa"/>
            <w:right w:w="42" w:type="dxa"/>
          </w:tblCellMar>
        </w:tblPrEx>
        <w:trPr>
          <w:cantSplit/>
          <w:trHeight w:val="90" w:hRule="atLeast"/>
          <w:jc w:val="center"/>
        </w:trPr>
        <w:tc>
          <w:tcPr>
            <w:tcW w:w="743" w:type="dxa"/>
            <w:vMerge w:val="continue"/>
            <w:shd w:val="clear" w:color="auto" w:fill="auto"/>
            <w:noWrap/>
            <w:vAlign w:val="center"/>
          </w:tcPr>
          <w:p w14:paraId="76A22A7D">
            <w:pPr>
              <w:snapToGrid w:val="0"/>
              <w:spacing w:line="240" w:lineRule="auto"/>
              <w:jc w:val="center"/>
              <w:rPr>
                <w:rFonts w:ascii="宋体" w:hAnsi="宋体"/>
                <w:bCs/>
              </w:rPr>
            </w:pPr>
          </w:p>
        </w:tc>
        <w:tc>
          <w:tcPr>
            <w:tcW w:w="702" w:type="dxa"/>
            <w:gridSpan w:val="2"/>
            <w:vMerge w:val="continue"/>
            <w:shd w:val="clear" w:color="auto" w:fill="auto"/>
            <w:noWrap/>
            <w:vAlign w:val="center"/>
          </w:tcPr>
          <w:p w14:paraId="05A191F9">
            <w:pPr>
              <w:snapToGrid w:val="0"/>
              <w:spacing w:line="240" w:lineRule="auto"/>
              <w:jc w:val="center"/>
              <w:rPr>
                <w:rFonts w:ascii="宋体" w:hAnsi="宋体"/>
                <w:bCs/>
              </w:rPr>
            </w:pPr>
          </w:p>
        </w:tc>
        <w:tc>
          <w:tcPr>
            <w:tcW w:w="4534" w:type="dxa"/>
            <w:shd w:val="clear" w:color="auto" w:fill="auto"/>
            <w:noWrap/>
            <w:vAlign w:val="center"/>
          </w:tcPr>
          <w:p w14:paraId="13C3BF2A">
            <w:pPr>
              <w:snapToGrid w:val="0"/>
              <w:spacing w:line="240" w:lineRule="auto"/>
              <w:rPr>
                <w:rFonts w:ascii="宋体" w:hAnsi="宋体"/>
                <w:bCs/>
              </w:rPr>
            </w:pPr>
            <w:r>
              <w:rPr>
                <w:rFonts w:hint="eastAsia" w:ascii="宋体" w:hAnsi="宋体"/>
                <w:bCs/>
              </w:rPr>
              <w:t>13）检验仪器设备</w:t>
            </w:r>
            <w:r>
              <w:rPr>
                <w:rFonts w:hint="eastAsia" w:ascii="宋体" w:hAnsi="宋体"/>
                <w:bCs/>
                <w:lang w:eastAsia="zh-CN"/>
              </w:rPr>
              <w:t>是不是</w:t>
            </w:r>
            <w:r>
              <w:rPr>
                <w:rFonts w:hint="eastAsia" w:ascii="宋体" w:hAnsi="宋体"/>
                <w:bCs/>
              </w:rPr>
              <w:t>自有，还是共建，其手续是否完备。</w:t>
            </w:r>
          </w:p>
        </w:tc>
        <w:tc>
          <w:tcPr>
            <w:tcW w:w="2677" w:type="dxa"/>
            <w:vMerge w:val="continue"/>
            <w:shd w:val="clear" w:color="auto" w:fill="auto"/>
            <w:noWrap/>
            <w:vAlign w:val="center"/>
          </w:tcPr>
          <w:p w14:paraId="76200150">
            <w:pPr>
              <w:snapToGrid w:val="0"/>
              <w:spacing w:line="240" w:lineRule="auto"/>
              <w:rPr>
                <w:rFonts w:ascii="宋体" w:hAnsi="宋体"/>
                <w:bCs/>
              </w:rPr>
            </w:pPr>
          </w:p>
        </w:tc>
        <w:tc>
          <w:tcPr>
            <w:tcW w:w="5269" w:type="dxa"/>
            <w:shd w:val="clear" w:color="auto" w:fill="auto"/>
            <w:noWrap/>
            <w:vAlign w:val="center"/>
          </w:tcPr>
          <w:p w14:paraId="6B19E372">
            <w:pPr>
              <w:snapToGrid w:val="0"/>
              <w:spacing w:line="240" w:lineRule="auto"/>
              <w:rPr>
                <w:rFonts w:ascii="宋体" w:hAnsi="宋体"/>
                <w:bCs/>
              </w:rPr>
            </w:pPr>
            <w:r>
              <w:rPr>
                <w:rFonts w:hint="eastAsia" w:ascii="宋体" w:hAnsi="宋体"/>
                <w:bCs/>
              </w:rPr>
              <w:t>1、现场查看实验室布局是否合理（一般应进行有效隔离：如分析室、仪器室、高温室、天平室、标液室等）；</w:t>
            </w:r>
          </w:p>
          <w:p w14:paraId="55491126">
            <w:pPr>
              <w:snapToGrid w:val="0"/>
              <w:spacing w:line="240" w:lineRule="auto"/>
              <w:rPr>
                <w:rFonts w:ascii="宋体" w:hAnsi="宋体"/>
                <w:bCs/>
              </w:rPr>
            </w:pPr>
            <w:r>
              <w:rPr>
                <w:rFonts w:hint="eastAsia" w:ascii="宋体" w:hAnsi="宋体"/>
                <w:bCs/>
              </w:rPr>
              <w:t>2、现场查阅仪器设备的采购合同、采购发票等；对使用年限久远发票无法提供的自有设备，由企业提供承诺书（加盖企业公章）并附设备清单；</w:t>
            </w:r>
          </w:p>
          <w:p w14:paraId="0418706E">
            <w:pPr>
              <w:snapToGrid w:val="0"/>
              <w:spacing w:line="240" w:lineRule="auto"/>
              <w:rPr>
                <w:rFonts w:ascii="宋体" w:hAnsi="宋体"/>
                <w:bCs/>
              </w:rPr>
            </w:pPr>
            <w:r>
              <w:rPr>
                <w:rFonts w:hint="eastAsia" w:ascii="宋体" w:hAnsi="宋体"/>
                <w:bCs/>
              </w:rPr>
              <w:t>3、如为租赁（共建）设备，需查看租赁合同是否有效、租赁时限是否超过1年、租赁期间企业是否具有完全的使用权并且不得共用、租赁方设备的采购发票等。</w:t>
            </w:r>
          </w:p>
        </w:tc>
      </w:tr>
      <w:tr w14:paraId="03BE22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42" w:type="dxa"/>
            <w:bottom w:w="0" w:type="dxa"/>
            <w:right w:w="42" w:type="dxa"/>
          </w:tblCellMar>
        </w:tblPrEx>
        <w:trPr>
          <w:cantSplit/>
          <w:trHeight w:val="479" w:hRule="atLeast"/>
          <w:jc w:val="center"/>
        </w:trPr>
        <w:tc>
          <w:tcPr>
            <w:tcW w:w="743" w:type="dxa"/>
            <w:shd w:val="clear" w:color="auto" w:fill="auto"/>
            <w:noWrap/>
            <w:vAlign w:val="center"/>
          </w:tcPr>
          <w:p w14:paraId="6D0433AA">
            <w:pPr>
              <w:snapToGrid w:val="0"/>
              <w:spacing w:line="240" w:lineRule="auto"/>
              <w:jc w:val="center"/>
              <w:rPr>
                <w:rFonts w:ascii="宋体" w:hAnsi="宋体"/>
                <w:b/>
                <w:bCs/>
              </w:rPr>
            </w:pPr>
            <w:r>
              <w:rPr>
                <w:rFonts w:hint="eastAsia" w:ascii="宋体" w:hAnsi="宋体"/>
                <w:b/>
                <w:bCs/>
              </w:rPr>
              <w:t>4</w:t>
            </w:r>
          </w:p>
        </w:tc>
        <w:tc>
          <w:tcPr>
            <w:tcW w:w="7913" w:type="dxa"/>
            <w:gridSpan w:val="4"/>
            <w:shd w:val="clear" w:color="auto" w:fill="auto"/>
            <w:noWrap/>
            <w:vAlign w:val="center"/>
          </w:tcPr>
          <w:p w14:paraId="06EE7F0D">
            <w:pPr>
              <w:snapToGrid w:val="0"/>
              <w:spacing w:line="240" w:lineRule="auto"/>
              <w:rPr>
                <w:rFonts w:ascii="宋体" w:hAnsi="宋体"/>
                <w:b/>
                <w:bCs/>
              </w:rPr>
            </w:pPr>
            <w:r>
              <w:rPr>
                <w:rFonts w:hint="eastAsia" w:ascii="宋体" w:hAnsi="宋体"/>
                <w:b/>
                <w:bCs/>
              </w:rPr>
              <w:t>技术文件</w:t>
            </w:r>
          </w:p>
        </w:tc>
        <w:tc>
          <w:tcPr>
            <w:tcW w:w="5269" w:type="dxa"/>
            <w:shd w:val="clear" w:color="auto" w:fill="auto"/>
            <w:noWrap/>
            <w:vAlign w:val="center"/>
          </w:tcPr>
          <w:p w14:paraId="5E080537">
            <w:pPr>
              <w:snapToGrid w:val="0"/>
              <w:spacing w:line="240" w:lineRule="auto"/>
              <w:rPr>
                <w:rFonts w:ascii="宋体" w:hAnsi="宋体"/>
                <w:b/>
                <w:bCs/>
              </w:rPr>
            </w:pPr>
          </w:p>
        </w:tc>
      </w:tr>
      <w:tr w14:paraId="052BD1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42" w:type="dxa"/>
            <w:bottom w:w="0" w:type="dxa"/>
            <w:right w:w="42" w:type="dxa"/>
          </w:tblCellMar>
        </w:tblPrEx>
        <w:trPr>
          <w:cantSplit/>
          <w:trHeight w:val="643" w:hRule="atLeast"/>
          <w:jc w:val="center"/>
        </w:trPr>
        <w:tc>
          <w:tcPr>
            <w:tcW w:w="743" w:type="dxa"/>
            <w:vMerge w:val="restart"/>
            <w:shd w:val="clear" w:color="auto" w:fill="auto"/>
            <w:noWrap/>
            <w:vAlign w:val="center"/>
          </w:tcPr>
          <w:p w14:paraId="645FB3AB">
            <w:pPr>
              <w:snapToGrid w:val="0"/>
              <w:spacing w:line="240" w:lineRule="auto"/>
              <w:jc w:val="center"/>
              <w:rPr>
                <w:rFonts w:ascii="宋体" w:hAnsi="宋体"/>
                <w:bCs/>
              </w:rPr>
            </w:pPr>
            <w:r>
              <w:rPr>
                <w:rFonts w:hint="eastAsia" w:ascii="宋体" w:hAnsi="宋体"/>
                <w:bCs/>
              </w:rPr>
              <w:t>4.1</w:t>
            </w:r>
          </w:p>
        </w:tc>
        <w:tc>
          <w:tcPr>
            <w:tcW w:w="702" w:type="dxa"/>
            <w:gridSpan w:val="2"/>
            <w:vMerge w:val="restart"/>
            <w:shd w:val="clear" w:color="auto" w:fill="auto"/>
            <w:noWrap/>
            <w:vAlign w:val="center"/>
          </w:tcPr>
          <w:p w14:paraId="052AEDD5">
            <w:pPr>
              <w:snapToGrid w:val="0"/>
              <w:spacing w:line="240" w:lineRule="auto"/>
              <w:jc w:val="center"/>
              <w:rPr>
                <w:rFonts w:ascii="宋体" w:hAnsi="宋体"/>
                <w:bCs/>
              </w:rPr>
            </w:pPr>
            <w:r>
              <w:rPr>
                <w:rFonts w:hint="eastAsia" w:ascii="宋体" w:hAnsi="宋体"/>
                <w:bCs/>
              </w:rPr>
              <w:t>工艺流程</w:t>
            </w:r>
          </w:p>
        </w:tc>
        <w:tc>
          <w:tcPr>
            <w:tcW w:w="4534" w:type="dxa"/>
            <w:shd w:val="clear" w:color="auto" w:fill="auto"/>
            <w:noWrap/>
            <w:vAlign w:val="center"/>
          </w:tcPr>
          <w:p w14:paraId="413A0B53">
            <w:pPr>
              <w:snapToGrid w:val="0"/>
              <w:spacing w:line="240" w:lineRule="auto"/>
              <w:rPr>
                <w:rFonts w:ascii="宋体" w:hAnsi="宋体"/>
                <w:bCs/>
              </w:rPr>
            </w:pPr>
            <w:r>
              <w:rPr>
                <w:rFonts w:hint="eastAsia" w:ascii="宋体" w:hAnsi="宋体"/>
                <w:bCs/>
              </w:rPr>
              <w:t>14）工艺流程图是否与其生产实际相吻合。</w:t>
            </w:r>
          </w:p>
        </w:tc>
        <w:tc>
          <w:tcPr>
            <w:tcW w:w="2677" w:type="dxa"/>
            <w:vMerge w:val="restart"/>
            <w:shd w:val="clear" w:color="auto" w:fill="auto"/>
            <w:noWrap/>
            <w:vAlign w:val="center"/>
          </w:tcPr>
          <w:p w14:paraId="549E68A6">
            <w:pPr>
              <w:snapToGrid w:val="0"/>
              <w:spacing w:line="240" w:lineRule="auto"/>
              <w:rPr>
                <w:rFonts w:ascii="宋体" w:hAnsi="宋体"/>
                <w:bCs/>
              </w:rPr>
            </w:pPr>
            <w:r>
              <w:rPr>
                <w:rFonts w:hint="eastAsia" w:ascii="宋体" w:hAnsi="宋体"/>
                <w:bCs/>
              </w:rPr>
              <w:t>14）～15）均为否时，判不符合。其中一款为否，可判为建议改进。</w:t>
            </w:r>
          </w:p>
          <w:p w14:paraId="525F5990">
            <w:pPr>
              <w:snapToGrid w:val="0"/>
              <w:spacing w:line="240" w:lineRule="auto"/>
              <w:rPr>
                <w:rFonts w:ascii="宋体" w:hAnsi="宋体"/>
                <w:bCs/>
              </w:rPr>
            </w:pPr>
            <w:r>
              <w:rPr>
                <w:rFonts w:hint="eastAsia" w:ascii="宋体" w:hAnsi="宋体"/>
                <w:bCs/>
              </w:rPr>
              <w:t>【可建议改进】</w:t>
            </w:r>
          </w:p>
        </w:tc>
        <w:tc>
          <w:tcPr>
            <w:tcW w:w="5269" w:type="dxa"/>
            <w:vMerge w:val="restart"/>
            <w:shd w:val="clear" w:color="auto" w:fill="auto"/>
            <w:noWrap/>
            <w:vAlign w:val="center"/>
          </w:tcPr>
          <w:p w14:paraId="67B33AF5">
            <w:pPr>
              <w:widowControl/>
              <w:numPr>
                <w:ilvl w:val="0"/>
                <w:numId w:val="34"/>
              </w:numPr>
              <w:kinsoku w:val="0"/>
              <w:autoSpaceDE w:val="0"/>
              <w:autoSpaceDN w:val="0"/>
              <w:snapToGrid w:val="0"/>
              <w:spacing w:line="240" w:lineRule="auto"/>
              <w:textAlignment w:val="baseline"/>
              <w:rPr>
                <w:rFonts w:ascii="宋体" w:hAnsi="宋体"/>
                <w:bCs/>
              </w:rPr>
            </w:pPr>
            <w:r>
              <w:rPr>
                <w:rFonts w:hint="eastAsia" w:ascii="宋体" w:hAnsi="宋体"/>
                <w:bCs/>
              </w:rPr>
              <w:t>对照生产操作规程及申请书附件2-5核对，同时可在生产一线请操作工人口述；</w:t>
            </w:r>
          </w:p>
          <w:p w14:paraId="0C154BDC">
            <w:pPr>
              <w:widowControl/>
              <w:numPr>
                <w:ilvl w:val="0"/>
                <w:numId w:val="34"/>
              </w:numPr>
              <w:kinsoku w:val="0"/>
              <w:autoSpaceDE w:val="0"/>
              <w:autoSpaceDN w:val="0"/>
              <w:snapToGrid w:val="0"/>
              <w:spacing w:line="240" w:lineRule="auto"/>
              <w:textAlignment w:val="baseline"/>
              <w:rPr>
                <w:rFonts w:ascii="宋体" w:hAnsi="宋体"/>
                <w:bCs/>
              </w:rPr>
            </w:pPr>
            <w:r>
              <w:rPr>
                <w:rFonts w:hint="eastAsia" w:ascii="宋体" w:hAnsi="宋体"/>
                <w:bCs/>
              </w:rPr>
              <w:t>工艺流程图应简洁明了（绝非设备串联图甚至设计院的设计图纸），应标明主要/关键工序及关键质量控制点。</w:t>
            </w:r>
          </w:p>
        </w:tc>
      </w:tr>
      <w:tr w14:paraId="7A7231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42" w:type="dxa"/>
            <w:bottom w:w="0" w:type="dxa"/>
            <w:right w:w="42" w:type="dxa"/>
          </w:tblCellMar>
        </w:tblPrEx>
        <w:trPr>
          <w:cantSplit/>
          <w:trHeight w:val="643" w:hRule="atLeast"/>
          <w:jc w:val="center"/>
        </w:trPr>
        <w:tc>
          <w:tcPr>
            <w:tcW w:w="743" w:type="dxa"/>
            <w:vMerge w:val="continue"/>
            <w:shd w:val="clear" w:color="auto" w:fill="auto"/>
            <w:noWrap/>
            <w:vAlign w:val="center"/>
          </w:tcPr>
          <w:p w14:paraId="5DBE8C21">
            <w:pPr>
              <w:snapToGrid w:val="0"/>
              <w:spacing w:line="240" w:lineRule="auto"/>
              <w:jc w:val="center"/>
              <w:rPr>
                <w:rFonts w:ascii="宋体" w:hAnsi="宋体"/>
                <w:bCs/>
              </w:rPr>
            </w:pPr>
          </w:p>
        </w:tc>
        <w:tc>
          <w:tcPr>
            <w:tcW w:w="702" w:type="dxa"/>
            <w:gridSpan w:val="2"/>
            <w:vMerge w:val="continue"/>
            <w:shd w:val="clear" w:color="auto" w:fill="auto"/>
            <w:noWrap/>
            <w:vAlign w:val="center"/>
          </w:tcPr>
          <w:p w14:paraId="337D705C">
            <w:pPr>
              <w:snapToGrid w:val="0"/>
              <w:spacing w:line="240" w:lineRule="auto"/>
              <w:jc w:val="center"/>
              <w:rPr>
                <w:rFonts w:ascii="宋体" w:hAnsi="宋体"/>
                <w:bCs/>
              </w:rPr>
            </w:pPr>
          </w:p>
        </w:tc>
        <w:tc>
          <w:tcPr>
            <w:tcW w:w="4534" w:type="dxa"/>
            <w:shd w:val="clear" w:color="auto" w:fill="auto"/>
            <w:noWrap/>
            <w:vAlign w:val="center"/>
          </w:tcPr>
          <w:p w14:paraId="257D6604">
            <w:pPr>
              <w:snapToGrid w:val="0"/>
              <w:spacing w:line="240" w:lineRule="auto"/>
              <w:rPr>
                <w:rFonts w:ascii="宋体" w:hAnsi="宋体"/>
                <w:bCs/>
              </w:rPr>
            </w:pPr>
            <w:r>
              <w:rPr>
                <w:rFonts w:hint="eastAsia" w:ascii="宋体" w:hAnsi="宋体"/>
                <w:bCs/>
              </w:rPr>
              <w:t>15）是否标明关键工序、质量控制点。</w:t>
            </w:r>
          </w:p>
        </w:tc>
        <w:tc>
          <w:tcPr>
            <w:tcW w:w="2677" w:type="dxa"/>
            <w:vMerge w:val="continue"/>
            <w:shd w:val="clear" w:color="auto" w:fill="auto"/>
            <w:noWrap/>
            <w:vAlign w:val="center"/>
          </w:tcPr>
          <w:p w14:paraId="1BD8CC1C">
            <w:pPr>
              <w:snapToGrid w:val="0"/>
              <w:spacing w:line="240" w:lineRule="auto"/>
              <w:rPr>
                <w:rFonts w:ascii="宋体" w:hAnsi="宋体"/>
                <w:bCs/>
              </w:rPr>
            </w:pPr>
          </w:p>
        </w:tc>
        <w:tc>
          <w:tcPr>
            <w:tcW w:w="5269" w:type="dxa"/>
            <w:vMerge w:val="continue"/>
            <w:shd w:val="clear" w:color="auto" w:fill="auto"/>
            <w:noWrap/>
            <w:vAlign w:val="center"/>
          </w:tcPr>
          <w:p w14:paraId="572A87F2">
            <w:pPr>
              <w:snapToGrid w:val="0"/>
              <w:spacing w:line="240" w:lineRule="auto"/>
              <w:rPr>
                <w:rFonts w:ascii="宋体" w:hAnsi="宋体"/>
                <w:bCs/>
              </w:rPr>
            </w:pPr>
          </w:p>
        </w:tc>
      </w:tr>
      <w:tr w14:paraId="49786D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42" w:type="dxa"/>
            <w:bottom w:w="0" w:type="dxa"/>
            <w:right w:w="42" w:type="dxa"/>
          </w:tblCellMar>
        </w:tblPrEx>
        <w:trPr>
          <w:cantSplit/>
          <w:trHeight w:val="3960" w:hRule="atLeast"/>
          <w:jc w:val="center"/>
        </w:trPr>
        <w:tc>
          <w:tcPr>
            <w:tcW w:w="743" w:type="dxa"/>
            <w:vMerge w:val="restart"/>
            <w:shd w:val="clear" w:color="auto" w:fill="auto"/>
            <w:noWrap/>
            <w:vAlign w:val="center"/>
          </w:tcPr>
          <w:p w14:paraId="733E40A2">
            <w:pPr>
              <w:snapToGrid w:val="0"/>
              <w:spacing w:line="240" w:lineRule="auto"/>
              <w:jc w:val="center"/>
              <w:rPr>
                <w:rFonts w:ascii="宋体" w:hAnsi="宋体"/>
                <w:bCs/>
              </w:rPr>
            </w:pPr>
            <w:r>
              <w:rPr>
                <w:rFonts w:hint="eastAsia" w:ascii="宋体" w:hAnsi="宋体"/>
                <w:bCs/>
              </w:rPr>
              <w:t>4.2</w:t>
            </w:r>
          </w:p>
        </w:tc>
        <w:tc>
          <w:tcPr>
            <w:tcW w:w="702" w:type="dxa"/>
            <w:gridSpan w:val="2"/>
            <w:vMerge w:val="restart"/>
            <w:shd w:val="clear" w:color="auto" w:fill="auto"/>
            <w:noWrap/>
            <w:vAlign w:val="center"/>
          </w:tcPr>
          <w:p w14:paraId="7E2384FF">
            <w:pPr>
              <w:snapToGrid w:val="0"/>
              <w:spacing w:line="240" w:lineRule="auto"/>
              <w:jc w:val="center"/>
              <w:rPr>
                <w:rFonts w:ascii="宋体" w:hAnsi="宋体"/>
                <w:bCs/>
              </w:rPr>
            </w:pPr>
            <w:r>
              <w:rPr>
                <w:rFonts w:hint="eastAsia" w:ascii="宋体" w:hAnsi="宋体"/>
                <w:bCs/>
              </w:rPr>
              <w:t>技术工艺文件</w:t>
            </w:r>
          </w:p>
        </w:tc>
        <w:tc>
          <w:tcPr>
            <w:tcW w:w="4534" w:type="dxa"/>
            <w:shd w:val="clear" w:color="auto" w:fill="auto"/>
            <w:noWrap/>
            <w:vAlign w:val="center"/>
          </w:tcPr>
          <w:p w14:paraId="01D2A02A">
            <w:pPr>
              <w:snapToGrid w:val="0"/>
              <w:spacing w:line="240" w:lineRule="auto"/>
              <w:rPr>
                <w:rFonts w:ascii="宋体" w:hAnsi="宋体"/>
                <w:bCs/>
              </w:rPr>
            </w:pPr>
            <w:r>
              <w:rPr>
                <w:rFonts w:hint="eastAsia" w:ascii="宋体" w:hAnsi="宋体"/>
                <w:bCs/>
              </w:rPr>
              <w:t>16） 对于本办法4.1中识别和确认的关键工序、质量控制点，现场核查每一关键工序、质量控制点，是否编制有相关技术工艺文件。</w:t>
            </w:r>
          </w:p>
        </w:tc>
        <w:tc>
          <w:tcPr>
            <w:tcW w:w="2677" w:type="dxa"/>
            <w:vMerge w:val="restart"/>
            <w:shd w:val="clear" w:color="auto" w:fill="auto"/>
            <w:noWrap/>
            <w:vAlign w:val="center"/>
          </w:tcPr>
          <w:p w14:paraId="7D0C5F7B">
            <w:pPr>
              <w:snapToGrid w:val="0"/>
              <w:spacing w:line="240" w:lineRule="auto"/>
              <w:rPr>
                <w:rFonts w:ascii="宋体" w:hAnsi="宋体"/>
                <w:bCs/>
              </w:rPr>
            </w:pPr>
            <w:r>
              <w:rPr>
                <w:rFonts w:hint="eastAsia" w:ascii="宋体" w:hAnsi="宋体"/>
                <w:bCs/>
              </w:rPr>
              <w:t>16）～17）均为否时，判不符合。</w:t>
            </w:r>
          </w:p>
          <w:p w14:paraId="250EF90F">
            <w:pPr>
              <w:snapToGrid w:val="0"/>
              <w:spacing w:line="240" w:lineRule="auto"/>
              <w:rPr>
                <w:rFonts w:ascii="宋体" w:hAnsi="宋体"/>
                <w:bCs/>
              </w:rPr>
            </w:pPr>
            <w:r>
              <w:rPr>
                <w:rFonts w:hint="eastAsia" w:ascii="宋体" w:hAnsi="宋体"/>
                <w:bCs/>
              </w:rPr>
              <w:t>【可建议改进】</w:t>
            </w:r>
          </w:p>
        </w:tc>
        <w:tc>
          <w:tcPr>
            <w:tcW w:w="5269" w:type="dxa"/>
            <w:vMerge w:val="restart"/>
            <w:shd w:val="clear" w:color="auto" w:fill="auto"/>
            <w:noWrap/>
            <w:vAlign w:val="center"/>
          </w:tcPr>
          <w:p w14:paraId="6C9F9AEE">
            <w:pPr>
              <w:widowControl/>
              <w:numPr>
                <w:ilvl w:val="0"/>
                <w:numId w:val="35"/>
              </w:numPr>
              <w:kinsoku w:val="0"/>
              <w:autoSpaceDE w:val="0"/>
              <w:autoSpaceDN w:val="0"/>
              <w:snapToGrid w:val="0"/>
              <w:spacing w:line="240" w:lineRule="auto"/>
              <w:textAlignment w:val="baseline"/>
              <w:rPr>
                <w:rFonts w:ascii="宋体" w:hAnsi="宋体"/>
                <w:bCs/>
              </w:rPr>
            </w:pPr>
            <w:r>
              <w:rPr>
                <w:rFonts w:hint="eastAsia" w:ascii="宋体" w:hAnsi="宋体"/>
                <w:bCs/>
              </w:rPr>
              <w:t>关键工序/关键质量控制点的生产操作工艺文件，是企业是否能够持续具备生产合格产品的能力关键核心之所在。其内容主要有：工艺原理、工艺控制参数及指标、开停机及生产操作步骤、常见故障及排除等内容；实际生产过程中，可根据装置使用年限、催化剂催化能力、季节因素等适时组织修订；</w:t>
            </w:r>
          </w:p>
          <w:p w14:paraId="3E188D74">
            <w:pPr>
              <w:widowControl/>
              <w:numPr>
                <w:ilvl w:val="0"/>
                <w:numId w:val="35"/>
              </w:numPr>
              <w:kinsoku w:val="0"/>
              <w:autoSpaceDE w:val="0"/>
              <w:autoSpaceDN w:val="0"/>
              <w:snapToGrid w:val="0"/>
              <w:spacing w:line="240" w:lineRule="auto"/>
              <w:textAlignment w:val="baseline"/>
              <w:rPr>
                <w:rFonts w:ascii="宋体" w:hAnsi="宋体"/>
                <w:bCs/>
              </w:rPr>
            </w:pPr>
            <w:r>
              <w:rPr>
                <w:rFonts w:hint="eastAsia" w:ascii="宋体" w:hAnsi="宋体"/>
                <w:bCs/>
              </w:rPr>
              <w:t>常见问题：①企业普遍采用设计院提供的操作规程并且在试生产甚至正常生产期间从不改动控制指标；②内容编制混乱，非日常操作内容夹在其中，操作规程可操作性差；③企业自编一套所谓内控文件，背离操作规程内容；甚至使用微信群，由班长微信遥控改变控制指标；④相同两套生产装置，使用一套操作规程，等。</w:t>
            </w:r>
          </w:p>
          <w:p w14:paraId="0EAB738F">
            <w:pPr>
              <w:widowControl/>
              <w:numPr>
                <w:ilvl w:val="0"/>
                <w:numId w:val="35"/>
              </w:numPr>
              <w:kinsoku w:val="0"/>
              <w:autoSpaceDE w:val="0"/>
              <w:autoSpaceDN w:val="0"/>
              <w:snapToGrid w:val="0"/>
              <w:spacing w:line="240" w:lineRule="auto"/>
              <w:textAlignment w:val="baseline"/>
              <w:rPr>
                <w:rFonts w:ascii="宋体" w:hAnsi="宋体"/>
                <w:bCs/>
              </w:rPr>
            </w:pPr>
            <w:r>
              <w:rPr>
                <w:rFonts w:hint="eastAsia" w:ascii="宋体" w:hAnsi="宋体"/>
                <w:bCs/>
              </w:rPr>
              <w:t>《关于指导督促工业产品生产销售单位加强风险管控工作的通知》的《附件1、20种工业品质量安全风险管控清单》涉及到的关键参数指标要在我们的操作规程/检验规程中体现。</w:t>
            </w:r>
          </w:p>
        </w:tc>
      </w:tr>
      <w:tr w14:paraId="340E15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42" w:type="dxa"/>
            <w:bottom w:w="0" w:type="dxa"/>
            <w:right w:w="42" w:type="dxa"/>
          </w:tblCellMar>
        </w:tblPrEx>
        <w:trPr>
          <w:cantSplit/>
          <w:trHeight w:val="1443" w:hRule="atLeast"/>
          <w:jc w:val="center"/>
        </w:trPr>
        <w:tc>
          <w:tcPr>
            <w:tcW w:w="743" w:type="dxa"/>
            <w:vMerge w:val="continue"/>
            <w:shd w:val="clear" w:color="auto" w:fill="auto"/>
            <w:noWrap/>
            <w:vAlign w:val="center"/>
          </w:tcPr>
          <w:p w14:paraId="6F50F464">
            <w:pPr>
              <w:snapToGrid w:val="0"/>
              <w:spacing w:line="240" w:lineRule="auto"/>
              <w:jc w:val="center"/>
              <w:rPr>
                <w:rFonts w:ascii="宋体" w:hAnsi="宋体"/>
                <w:bCs/>
              </w:rPr>
            </w:pPr>
          </w:p>
        </w:tc>
        <w:tc>
          <w:tcPr>
            <w:tcW w:w="702" w:type="dxa"/>
            <w:gridSpan w:val="2"/>
            <w:vMerge w:val="continue"/>
            <w:shd w:val="clear" w:color="auto" w:fill="auto"/>
            <w:noWrap/>
            <w:vAlign w:val="center"/>
          </w:tcPr>
          <w:p w14:paraId="053BC580">
            <w:pPr>
              <w:snapToGrid w:val="0"/>
              <w:spacing w:line="240" w:lineRule="auto"/>
              <w:jc w:val="center"/>
              <w:rPr>
                <w:rFonts w:ascii="宋体" w:hAnsi="宋体"/>
                <w:bCs/>
              </w:rPr>
            </w:pPr>
          </w:p>
        </w:tc>
        <w:tc>
          <w:tcPr>
            <w:tcW w:w="4534" w:type="dxa"/>
            <w:shd w:val="clear" w:color="auto" w:fill="auto"/>
            <w:noWrap/>
            <w:vAlign w:val="center"/>
          </w:tcPr>
          <w:p w14:paraId="1F1A70AE">
            <w:pPr>
              <w:snapToGrid w:val="0"/>
              <w:spacing w:line="240" w:lineRule="auto"/>
              <w:rPr>
                <w:rFonts w:ascii="宋体" w:hAnsi="宋体"/>
                <w:bCs/>
              </w:rPr>
            </w:pPr>
            <w:r>
              <w:rPr>
                <w:rFonts w:hint="eastAsia" w:ascii="宋体" w:hAnsi="宋体"/>
                <w:bCs/>
              </w:rPr>
              <w:t>17）技术工艺文件是否明确了具体的控制参数，其参数是否进行适宜的验证并正确（须贯彻执行产品标准）。</w:t>
            </w:r>
          </w:p>
        </w:tc>
        <w:tc>
          <w:tcPr>
            <w:tcW w:w="2677" w:type="dxa"/>
            <w:vMerge w:val="continue"/>
            <w:shd w:val="clear" w:color="auto" w:fill="auto"/>
            <w:noWrap/>
            <w:vAlign w:val="center"/>
          </w:tcPr>
          <w:p w14:paraId="76036AB1">
            <w:pPr>
              <w:snapToGrid w:val="0"/>
              <w:spacing w:line="240" w:lineRule="auto"/>
              <w:rPr>
                <w:rFonts w:ascii="宋体" w:hAnsi="宋体"/>
                <w:bCs/>
              </w:rPr>
            </w:pPr>
          </w:p>
        </w:tc>
        <w:tc>
          <w:tcPr>
            <w:tcW w:w="5269" w:type="dxa"/>
            <w:vMerge w:val="continue"/>
            <w:shd w:val="clear" w:color="auto" w:fill="auto"/>
            <w:noWrap/>
            <w:vAlign w:val="center"/>
          </w:tcPr>
          <w:p w14:paraId="2534250D">
            <w:pPr>
              <w:widowControl/>
              <w:kinsoku w:val="0"/>
              <w:autoSpaceDE w:val="0"/>
              <w:autoSpaceDN w:val="0"/>
              <w:snapToGrid w:val="0"/>
              <w:spacing w:line="240" w:lineRule="auto"/>
              <w:textAlignment w:val="baseline"/>
              <w:rPr>
                <w:rFonts w:ascii="宋体" w:hAnsi="宋体"/>
                <w:bCs/>
              </w:rPr>
            </w:pPr>
          </w:p>
        </w:tc>
      </w:tr>
      <w:tr w14:paraId="1DDABB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42" w:type="dxa"/>
            <w:bottom w:w="0" w:type="dxa"/>
            <w:right w:w="42" w:type="dxa"/>
          </w:tblCellMar>
        </w:tblPrEx>
        <w:trPr>
          <w:cantSplit/>
          <w:trHeight w:val="1030" w:hRule="atLeast"/>
          <w:jc w:val="center"/>
        </w:trPr>
        <w:tc>
          <w:tcPr>
            <w:tcW w:w="743" w:type="dxa"/>
            <w:vMerge w:val="restart"/>
            <w:shd w:val="clear" w:color="auto" w:fill="auto"/>
            <w:noWrap/>
            <w:vAlign w:val="center"/>
          </w:tcPr>
          <w:p w14:paraId="6634CAF4">
            <w:pPr>
              <w:snapToGrid w:val="0"/>
              <w:spacing w:line="240" w:lineRule="auto"/>
              <w:jc w:val="center"/>
              <w:rPr>
                <w:rFonts w:ascii="宋体" w:hAnsi="宋体"/>
                <w:bCs/>
              </w:rPr>
            </w:pPr>
            <w:r>
              <w:rPr>
                <w:rFonts w:hint="eastAsia" w:ascii="宋体" w:hAnsi="宋体"/>
                <w:bCs/>
              </w:rPr>
              <w:t>4.3</w:t>
            </w:r>
          </w:p>
        </w:tc>
        <w:tc>
          <w:tcPr>
            <w:tcW w:w="702" w:type="dxa"/>
            <w:gridSpan w:val="2"/>
            <w:vMerge w:val="restart"/>
            <w:shd w:val="clear" w:color="auto" w:fill="auto"/>
            <w:noWrap/>
            <w:vAlign w:val="center"/>
          </w:tcPr>
          <w:p w14:paraId="5EDD4335">
            <w:pPr>
              <w:snapToGrid w:val="0"/>
              <w:spacing w:line="240" w:lineRule="auto"/>
              <w:jc w:val="center"/>
              <w:rPr>
                <w:rFonts w:ascii="宋体" w:hAnsi="宋体"/>
                <w:bCs/>
              </w:rPr>
            </w:pPr>
            <w:r>
              <w:rPr>
                <w:rFonts w:hint="eastAsia" w:ascii="宋体" w:hAnsi="宋体"/>
                <w:bCs/>
              </w:rPr>
              <w:t>检验文件</w:t>
            </w:r>
          </w:p>
        </w:tc>
        <w:tc>
          <w:tcPr>
            <w:tcW w:w="4534" w:type="dxa"/>
            <w:shd w:val="clear" w:color="auto" w:fill="auto"/>
            <w:noWrap/>
            <w:vAlign w:val="center"/>
          </w:tcPr>
          <w:p w14:paraId="2978EF27">
            <w:pPr>
              <w:snapToGrid w:val="0"/>
              <w:spacing w:line="240" w:lineRule="auto"/>
              <w:rPr>
                <w:rFonts w:ascii="宋体" w:hAnsi="宋体"/>
                <w:bCs/>
              </w:rPr>
            </w:pPr>
            <w:r>
              <w:rPr>
                <w:rFonts w:hint="eastAsia" w:ascii="宋体" w:hAnsi="宋体"/>
                <w:bCs/>
              </w:rPr>
              <w:t>18）是否对采购重要原材料进货检验（或验证）等生产过程检验、出厂检验作出规定。</w:t>
            </w:r>
          </w:p>
        </w:tc>
        <w:tc>
          <w:tcPr>
            <w:tcW w:w="2677" w:type="dxa"/>
            <w:vMerge w:val="restart"/>
            <w:shd w:val="clear" w:color="auto" w:fill="auto"/>
            <w:noWrap/>
            <w:vAlign w:val="center"/>
          </w:tcPr>
          <w:p w14:paraId="77BD7217">
            <w:pPr>
              <w:snapToGrid w:val="0"/>
              <w:spacing w:line="240" w:lineRule="auto"/>
              <w:rPr>
                <w:rFonts w:ascii="宋体" w:hAnsi="宋体"/>
                <w:b/>
              </w:rPr>
            </w:pPr>
            <w:r>
              <w:rPr>
                <w:rFonts w:hint="eastAsia" w:ascii="宋体" w:hAnsi="宋体"/>
                <w:b/>
              </w:rPr>
              <w:t>18）～19）均为否时，判不符合。</w:t>
            </w:r>
          </w:p>
          <w:p w14:paraId="654445FB">
            <w:pPr>
              <w:snapToGrid w:val="0"/>
              <w:spacing w:line="240" w:lineRule="auto"/>
              <w:rPr>
                <w:rFonts w:ascii="宋体" w:hAnsi="宋体"/>
                <w:b/>
              </w:rPr>
            </w:pPr>
            <w:r>
              <w:rPr>
                <w:rFonts w:hint="eastAsia" w:ascii="宋体" w:hAnsi="宋体"/>
                <w:b/>
              </w:rPr>
              <w:t>【可建议改进】</w:t>
            </w:r>
          </w:p>
        </w:tc>
        <w:tc>
          <w:tcPr>
            <w:tcW w:w="5269" w:type="dxa"/>
            <w:vMerge w:val="restart"/>
            <w:shd w:val="clear" w:color="auto" w:fill="auto"/>
            <w:noWrap/>
            <w:vAlign w:val="center"/>
          </w:tcPr>
          <w:p w14:paraId="48C67D8A">
            <w:pPr>
              <w:widowControl/>
              <w:numPr>
                <w:ilvl w:val="0"/>
                <w:numId w:val="36"/>
              </w:numPr>
              <w:kinsoku w:val="0"/>
              <w:autoSpaceDE w:val="0"/>
              <w:autoSpaceDN w:val="0"/>
              <w:snapToGrid w:val="0"/>
              <w:spacing w:line="240" w:lineRule="auto"/>
              <w:textAlignment w:val="baseline"/>
              <w:rPr>
                <w:rFonts w:ascii="宋体" w:hAnsi="宋体"/>
                <w:bCs/>
              </w:rPr>
            </w:pPr>
            <w:r>
              <w:rPr>
                <w:rFonts w:hint="eastAsia" w:ascii="宋体" w:hAnsi="宋体"/>
                <w:bCs/>
              </w:rPr>
              <w:t>检验规程是与生产操作规程具有同等效力，用于指导检验工作的作业指导书，因此，其内容与检验实际应保持一致；</w:t>
            </w:r>
          </w:p>
          <w:p w14:paraId="5AB856BF">
            <w:pPr>
              <w:widowControl/>
              <w:numPr>
                <w:ilvl w:val="0"/>
                <w:numId w:val="36"/>
              </w:numPr>
              <w:kinsoku w:val="0"/>
              <w:autoSpaceDE w:val="0"/>
              <w:autoSpaceDN w:val="0"/>
              <w:snapToGrid w:val="0"/>
              <w:spacing w:line="240" w:lineRule="auto"/>
              <w:textAlignment w:val="baseline"/>
              <w:rPr>
                <w:rFonts w:ascii="宋体" w:hAnsi="宋体"/>
                <w:bCs/>
              </w:rPr>
            </w:pPr>
            <w:r>
              <w:rPr>
                <w:rFonts w:hint="eastAsia" w:ascii="宋体" w:hAnsi="宋体"/>
                <w:bCs/>
              </w:rPr>
              <w:t>常见问题：①企业未制定检验规程，而是直接采用国标方法，与企业实际检验有偏差；②检验规程未包含抽样频次、抽样方法、检验项目、检验方法、判定规则等内容；有些原料企业自己无法检验，但并未对原料验证的方式作出规定；③有些企业检验没有按照规定来做，检验项目不全，检验结果不符合规定要求等。</w:t>
            </w:r>
          </w:p>
        </w:tc>
      </w:tr>
      <w:tr w14:paraId="2CCACD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42" w:type="dxa"/>
            <w:bottom w:w="0" w:type="dxa"/>
            <w:right w:w="42" w:type="dxa"/>
          </w:tblCellMar>
        </w:tblPrEx>
        <w:trPr>
          <w:cantSplit/>
          <w:trHeight w:val="1242" w:hRule="atLeast"/>
          <w:jc w:val="center"/>
        </w:trPr>
        <w:tc>
          <w:tcPr>
            <w:tcW w:w="743" w:type="dxa"/>
            <w:vMerge w:val="continue"/>
            <w:shd w:val="clear" w:color="auto" w:fill="auto"/>
            <w:noWrap/>
            <w:vAlign w:val="center"/>
          </w:tcPr>
          <w:p w14:paraId="76223C7C">
            <w:pPr>
              <w:snapToGrid w:val="0"/>
              <w:spacing w:line="240" w:lineRule="auto"/>
              <w:jc w:val="center"/>
              <w:rPr>
                <w:rFonts w:ascii="宋体" w:hAnsi="宋体"/>
                <w:bCs/>
              </w:rPr>
            </w:pPr>
          </w:p>
        </w:tc>
        <w:tc>
          <w:tcPr>
            <w:tcW w:w="702" w:type="dxa"/>
            <w:gridSpan w:val="2"/>
            <w:vMerge w:val="continue"/>
            <w:shd w:val="clear" w:color="auto" w:fill="auto"/>
            <w:noWrap/>
            <w:vAlign w:val="center"/>
          </w:tcPr>
          <w:p w14:paraId="60152905">
            <w:pPr>
              <w:snapToGrid w:val="0"/>
              <w:spacing w:line="240" w:lineRule="auto"/>
              <w:jc w:val="center"/>
              <w:rPr>
                <w:rFonts w:ascii="宋体" w:hAnsi="宋体"/>
                <w:bCs/>
              </w:rPr>
            </w:pPr>
          </w:p>
        </w:tc>
        <w:tc>
          <w:tcPr>
            <w:tcW w:w="4534" w:type="dxa"/>
            <w:shd w:val="clear" w:color="auto" w:fill="auto"/>
            <w:noWrap/>
            <w:vAlign w:val="center"/>
          </w:tcPr>
          <w:p w14:paraId="756A57C9">
            <w:pPr>
              <w:snapToGrid w:val="0"/>
              <w:spacing w:line="240" w:lineRule="auto"/>
              <w:rPr>
                <w:rFonts w:ascii="宋体" w:hAnsi="宋体"/>
                <w:bCs/>
              </w:rPr>
            </w:pPr>
            <w:r>
              <w:rPr>
                <w:rFonts w:hint="eastAsia" w:ascii="宋体" w:hAnsi="宋体"/>
                <w:bCs/>
              </w:rPr>
              <w:t>19）是否编制了检验规程，其内容是否完整正确（应包括检验频次、检验样品数、抽样方式、检验项目、检验方法、检验结果判定及处理）。</w:t>
            </w:r>
          </w:p>
        </w:tc>
        <w:tc>
          <w:tcPr>
            <w:tcW w:w="2677" w:type="dxa"/>
            <w:vMerge w:val="continue"/>
            <w:shd w:val="clear" w:color="auto" w:fill="auto"/>
            <w:noWrap/>
            <w:vAlign w:val="center"/>
          </w:tcPr>
          <w:p w14:paraId="74996B87">
            <w:pPr>
              <w:snapToGrid w:val="0"/>
              <w:spacing w:line="240" w:lineRule="auto"/>
              <w:rPr>
                <w:rFonts w:ascii="宋体" w:hAnsi="宋体"/>
                <w:bCs/>
              </w:rPr>
            </w:pPr>
          </w:p>
        </w:tc>
        <w:tc>
          <w:tcPr>
            <w:tcW w:w="5269" w:type="dxa"/>
            <w:vMerge w:val="continue"/>
            <w:shd w:val="clear" w:color="auto" w:fill="auto"/>
            <w:noWrap/>
            <w:vAlign w:val="center"/>
          </w:tcPr>
          <w:p w14:paraId="063CBF09">
            <w:pPr>
              <w:snapToGrid w:val="0"/>
              <w:spacing w:line="240" w:lineRule="auto"/>
              <w:rPr>
                <w:rFonts w:ascii="宋体" w:hAnsi="宋体"/>
                <w:bCs/>
              </w:rPr>
            </w:pPr>
          </w:p>
        </w:tc>
      </w:tr>
      <w:tr w14:paraId="06F201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42" w:type="dxa"/>
            <w:bottom w:w="0" w:type="dxa"/>
            <w:right w:w="42" w:type="dxa"/>
          </w:tblCellMar>
        </w:tblPrEx>
        <w:trPr>
          <w:cantSplit/>
          <w:trHeight w:val="545" w:hRule="atLeast"/>
          <w:jc w:val="center"/>
        </w:trPr>
        <w:tc>
          <w:tcPr>
            <w:tcW w:w="743" w:type="dxa"/>
            <w:shd w:val="clear" w:color="auto" w:fill="auto"/>
            <w:noWrap/>
            <w:vAlign w:val="center"/>
          </w:tcPr>
          <w:p w14:paraId="5178CF69">
            <w:pPr>
              <w:snapToGrid w:val="0"/>
              <w:spacing w:line="240" w:lineRule="auto"/>
              <w:jc w:val="center"/>
              <w:rPr>
                <w:rFonts w:ascii="宋体" w:hAnsi="宋体"/>
                <w:b/>
                <w:bCs/>
              </w:rPr>
            </w:pPr>
            <w:r>
              <w:rPr>
                <w:rFonts w:hint="eastAsia" w:ascii="宋体" w:hAnsi="宋体"/>
                <w:b/>
                <w:bCs/>
              </w:rPr>
              <w:t>5</w:t>
            </w:r>
          </w:p>
        </w:tc>
        <w:tc>
          <w:tcPr>
            <w:tcW w:w="7913" w:type="dxa"/>
            <w:gridSpan w:val="4"/>
            <w:shd w:val="clear" w:color="auto" w:fill="auto"/>
            <w:noWrap/>
            <w:vAlign w:val="center"/>
          </w:tcPr>
          <w:p w14:paraId="4C997C55">
            <w:pPr>
              <w:snapToGrid w:val="0"/>
              <w:spacing w:line="240" w:lineRule="auto"/>
              <w:rPr>
                <w:rFonts w:ascii="宋体" w:hAnsi="宋体"/>
                <w:b/>
                <w:bCs/>
              </w:rPr>
            </w:pPr>
            <w:r>
              <w:rPr>
                <w:rFonts w:hint="eastAsia" w:ascii="宋体" w:hAnsi="宋体"/>
                <w:b/>
                <w:bCs/>
              </w:rPr>
              <w:t>生产过程控制</w:t>
            </w:r>
          </w:p>
        </w:tc>
        <w:tc>
          <w:tcPr>
            <w:tcW w:w="5269" w:type="dxa"/>
            <w:shd w:val="clear" w:color="auto" w:fill="auto"/>
            <w:noWrap/>
            <w:vAlign w:val="center"/>
          </w:tcPr>
          <w:p w14:paraId="3E02BE69">
            <w:pPr>
              <w:snapToGrid w:val="0"/>
              <w:spacing w:line="240" w:lineRule="auto"/>
              <w:rPr>
                <w:rFonts w:ascii="宋体" w:hAnsi="宋体"/>
                <w:b/>
                <w:bCs/>
              </w:rPr>
            </w:pPr>
          </w:p>
        </w:tc>
      </w:tr>
      <w:tr w14:paraId="0258D7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42" w:type="dxa"/>
            <w:bottom w:w="0" w:type="dxa"/>
            <w:right w:w="42" w:type="dxa"/>
          </w:tblCellMar>
        </w:tblPrEx>
        <w:trPr>
          <w:cantSplit/>
          <w:trHeight w:val="558" w:hRule="atLeast"/>
          <w:jc w:val="center"/>
        </w:trPr>
        <w:tc>
          <w:tcPr>
            <w:tcW w:w="743" w:type="dxa"/>
            <w:shd w:val="clear" w:color="auto" w:fill="auto"/>
            <w:noWrap/>
            <w:vAlign w:val="center"/>
          </w:tcPr>
          <w:p w14:paraId="2FAAF568">
            <w:pPr>
              <w:snapToGrid w:val="0"/>
              <w:spacing w:line="240" w:lineRule="auto"/>
              <w:jc w:val="center"/>
              <w:rPr>
                <w:rFonts w:ascii="宋体" w:hAnsi="宋体"/>
                <w:bCs/>
              </w:rPr>
            </w:pPr>
            <w:r>
              <w:rPr>
                <w:rFonts w:hint="eastAsia" w:ascii="宋体" w:hAnsi="宋体"/>
                <w:bCs/>
              </w:rPr>
              <w:t>5.1</w:t>
            </w:r>
          </w:p>
        </w:tc>
        <w:tc>
          <w:tcPr>
            <w:tcW w:w="702" w:type="dxa"/>
            <w:gridSpan w:val="2"/>
            <w:shd w:val="clear" w:color="auto" w:fill="auto"/>
            <w:noWrap/>
            <w:vAlign w:val="center"/>
          </w:tcPr>
          <w:p w14:paraId="2DF3BA58">
            <w:pPr>
              <w:snapToGrid w:val="0"/>
              <w:spacing w:line="240" w:lineRule="auto"/>
              <w:jc w:val="center"/>
              <w:rPr>
                <w:rFonts w:ascii="宋体" w:hAnsi="宋体"/>
                <w:bCs/>
              </w:rPr>
            </w:pPr>
            <w:r>
              <w:rPr>
                <w:rFonts w:hint="eastAsia" w:ascii="宋体" w:hAnsi="宋体"/>
                <w:bCs/>
              </w:rPr>
              <w:t>生产</w:t>
            </w:r>
          </w:p>
          <w:p w14:paraId="442A7153">
            <w:pPr>
              <w:snapToGrid w:val="0"/>
              <w:spacing w:line="240" w:lineRule="auto"/>
              <w:jc w:val="center"/>
              <w:rPr>
                <w:rFonts w:ascii="宋体" w:hAnsi="宋体"/>
                <w:bCs/>
              </w:rPr>
            </w:pPr>
            <w:r>
              <w:rPr>
                <w:rFonts w:hint="eastAsia" w:ascii="宋体" w:hAnsi="宋体"/>
                <w:bCs/>
              </w:rPr>
              <w:t>记录</w:t>
            </w:r>
          </w:p>
        </w:tc>
        <w:tc>
          <w:tcPr>
            <w:tcW w:w="4534" w:type="dxa"/>
            <w:shd w:val="clear" w:color="auto" w:fill="auto"/>
            <w:noWrap/>
            <w:vAlign w:val="center"/>
          </w:tcPr>
          <w:p w14:paraId="2384F4BA">
            <w:pPr>
              <w:snapToGrid w:val="0"/>
              <w:spacing w:line="240" w:lineRule="auto"/>
              <w:rPr>
                <w:rFonts w:ascii="宋体" w:hAnsi="宋体"/>
                <w:bCs/>
              </w:rPr>
            </w:pPr>
            <w:r>
              <w:rPr>
                <w:rFonts w:hint="eastAsia" w:ascii="宋体" w:hAnsi="宋体"/>
                <w:bCs/>
              </w:rPr>
              <w:t>20）是否对</w:t>
            </w:r>
            <w:r>
              <w:rPr>
                <w:rFonts w:hint="eastAsia"/>
              </w:rPr>
              <w:t>主要工艺参数</w:t>
            </w:r>
            <w:r>
              <w:rPr>
                <w:rFonts w:hint="eastAsia" w:ascii="宋体" w:hAnsi="宋体"/>
                <w:bCs/>
              </w:rPr>
              <w:t>进行如实的记录。</w:t>
            </w:r>
          </w:p>
        </w:tc>
        <w:tc>
          <w:tcPr>
            <w:tcW w:w="2677" w:type="dxa"/>
            <w:shd w:val="clear" w:color="auto" w:fill="auto"/>
            <w:noWrap/>
            <w:vAlign w:val="center"/>
          </w:tcPr>
          <w:p w14:paraId="50F296F0">
            <w:pPr>
              <w:snapToGrid w:val="0"/>
              <w:spacing w:line="240" w:lineRule="auto"/>
              <w:rPr>
                <w:rFonts w:ascii="宋体" w:hAnsi="宋体"/>
                <w:bCs/>
              </w:rPr>
            </w:pPr>
            <w:r>
              <w:rPr>
                <w:rFonts w:hint="eastAsia" w:ascii="宋体" w:hAnsi="宋体"/>
                <w:bCs/>
              </w:rPr>
              <w:t>对</w:t>
            </w:r>
            <w:r>
              <w:rPr>
                <w:rFonts w:ascii="宋体" w:hAnsi="宋体"/>
                <w:bCs/>
              </w:rPr>
              <w:t>于出现</w:t>
            </w:r>
            <w:r>
              <w:rPr>
                <w:rFonts w:hint="eastAsia" w:ascii="宋体" w:hAnsi="宋体"/>
                <w:bCs/>
              </w:rPr>
              <w:t>未</w:t>
            </w:r>
            <w:r>
              <w:rPr>
                <w:rFonts w:ascii="宋体" w:hAnsi="宋体"/>
                <w:bCs/>
              </w:rPr>
              <w:t>做记录</w:t>
            </w:r>
            <w:r>
              <w:rPr>
                <w:rFonts w:hint="eastAsia" w:ascii="宋体" w:hAnsi="宋体"/>
                <w:bCs/>
              </w:rPr>
              <w:t>及</w:t>
            </w:r>
            <w:r>
              <w:rPr>
                <w:rFonts w:ascii="宋体" w:hAnsi="宋体"/>
                <w:bCs/>
              </w:rPr>
              <w:t>记录</w:t>
            </w:r>
            <w:r>
              <w:rPr>
                <w:rFonts w:hint="eastAsia" w:ascii="宋体" w:hAnsi="宋体"/>
                <w:bCs/>
              </w:rPr>
              <w:t>多</w:t>
            </w:r>
            <w:r>
              <w:rPr>
                <w:rFonts w:ascii="宋体" w:hAnsi="宋体"/>
                <w:bCs/>
              </w:rPr>
              <w:t>处不全</w:t>
            </w:r>
            <w:r>
              <w:rPr>
                <w:rFonts w:hint="eastAsia" w:ascii="宋体" w:hAnsi="宋体"/>
                <w:bCs/>
              </w:rPr>
              <w:t>的则</w:t>
            </w:r>
            <w:r>
              <w:rPr>
                <w:rFonts w:ascii="宋体" w:hAnsi="宋体"/>
                <w:bCs/>
              </w:rPr>
              <w:t>为否，判</w:t>
            </w:r>
            <w:r>
              <w:rPr>
                <w:rFonts w:hint="eastAsia" w:ascii="宋体" w:hAnsi="宋体"/>
                <w:bCs/>
              </w:rPr>
              <w:t>为</w:t>
            </w:r>
            <w:r>
              <w:rPr>
                <w:rFonts w:ascii="宋体" w:hAnsi="宋体"/>
                <w:bCs/>
              </w:rPr>
              <w:t>不符合</w:t>
            </w:r>
            <w:r>
              <w:rPr>
                <w:rFonts w:hint="eastAsia" w:ascii="宋体" w:hAnsi="宋体"/>
                <w:bCs/>
              </w:rPr>
              <w:t>。</w:t>
            </w:r>
          </w:p>
          <w:p w14:paraId="54BC8F40">
            <w:pPr>
              <w:snapToGrid w:val="0"/>
              <w:spacing w:line="240" w:lineRule="auto"/>
              <w:rPr>
                <w:rFonts w:ascii="宋体" w:hAnsi="宋体"/>
                <w:bCs/>
              </w:rPr>
            </w:pPr>
            <w:r>
              <w:rPr>
                <w:rFonts w:hint="eastAsia" w:ascii="宋体" w:hAnsi="宋体"/>
                <w:bCs/>
              </w:rPr>
              <w:t>【否决项】</w:t>
            </w:r>
          </w:p>
        </w:tc>
        <w:tc>
          <w:tcPr>
            <w:tcW w:w="5269" w:type="dxa"/>
            <w:shd w:val="clear" w:color="auto" w:fill="auto"/>
            <w:noWrap/>
            <w:vAlign w:val="center"/>
          </w:tcPr>
          <w:p w14:paraId="642E0F5A">
            <w:pPr>
              <w:widowControl/>
              <w:numPr>
                <w:ilvl w:val="0"/>
                <w:numId w:val="35"/>
              </w:numPr>
              <w:kinsoku w:val="0"/>
              <w:autoSpaceDE w:val="0"/>
              <w:autoSpaceDN w:val="0"/>
              <w:snapToGrid w:val="0"/>
              <w:spacing w:line="240" w:lineRule="auto"/>
              <w:textAlignment w:val="baseline"/>
              <w:rPr>
                <w:rFonts w:ascii="宋体" w:hAnsi="宋体"/>
                <w:bCs/>
              </w:rPr>
            </w:pPr>
            <w:r>
              <w:rPr>
                <w:rFonts w:hint="eastAsia" w:ascii="宋体" w:hAnsi="宋体"/>
                <w:bCs/>
              </w:rPr>
              <w:t>现场查看生产记录格式设计：①参数与生产操作规程中的工艺参数是否一致；②对于需要纠偏的操作，是否设计空白栏供操作工人第一时间记录；</w:t>
            </w:r>
          </w:p>
          <w:p w14:paraId="5A39569E">
            <w:pPr>
              <w:widowControl/>
              <w:numPr>
                <w:ilvl w:val="0"/>
                <w:numId w:val="35"/>
              </w:numPr>
              <w:kinsoku w:val="0"/>
              <w:autoSpaceDE w:val="0"/>
              <w:autoSpaceDN w:val="0"/>
              <w:snapToGrid w:val="0"/>
              <w:spacing w:line="240" w:lineRule="auto"/>
              <w:textAlignment w:val="baseline"/>
              <w:rPr>
                <w:rFonts w:ascii="宋体" w:hAnsi="宋体"/>
                <w:bCs/>
              </w:rPr>
            </w:pPr>
            <w:r>
              <w:rPr>
                <w:rFonts w:hint="eastAsia" w:ascii="宋体" w:hAnsi="宋体"/>
                <w:bCs/>
              </w:rPr>
              <w:t>常见问题：①操作工人字迹潦草，有些数据无法辨认；②不按规定杠改数据，涂改、甚至使用涂改液现象较为普遍；③有些数据长时间偏离控制区间未见得到纠正；④有些需要计算的，操作工人使用草稿纸，当班结束，草稿纸即丢弃；⑤工艺员对存在问题的生产记录不考核，甚至直接在记录上签字，等。</w:t>
            </w:r>
          </w:p>
        </w:tc>
      </w:tr>
      <w:tr w14:paraId="13072E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42" w:type="dxa"/>
            <w:bottom w:w="0" w:type="dxa"/>
            <w:right w:w="42" w:type="dxa"/>
          </w:tblCellMar>
        </w:tblPrEx>
        <w:trPr>
          <w:cantSplit/>
          <w:trHeight w:val="453" w:hRule="atLeast"/>
          <w:jc w:val="center"/>
        </w:trPr>
        <w:tc>
          <w:tcPr>
            <w:tcW w:w="743" w:type="dxa"/>
            <w:shd w:val="clear" w:color="auto" w:fill="auto"/>
            <w:noWrap/>
            <w:vAlign w:val="center"/>
          </w:tcPr>
          <w:p w14:paraId="07AAB296">
            <w:pPr>
              <w:snapToGrid w:val="0"/>
              <w:spacing w:line="240" w:lineRule="auto"/>
              <w:jc w:val="center"/>
              <w:rPr>
                <w:rFonts w:ascii="宋体" w:hAnsi="宋体"/>
                <w:bCs/>
              </w:rPr>
            </w:pPr>
            <w:r>
              <w:rPr>
                <w:rFonts w:hint="eastAsia" w:ascii="宋体" w:hAnsi="宋体"/>
                <w:bCs/>
              </w:rPr>
              <w:t>5.2</w:t>
            </w:r>
          </w:p>
        </w:tc>
        <w:tc>
          <w:tcPr>
            <w:tcW w:w="702" w:type="dxa"/>
            <w:gridSpan w:val="2"/>
            <w:shd w:val="clear" w:color="auto" w:fill="auto"/>
            <w:noWrap/>
            <w:vAlign w:val="center"/>
          </w:tcPr>
          <w:p w14:paraId="07E7810D">
            <w:pPr>
              <w:snapToGrid w:val="0"/>
              <w:spacing w:line="240" w:lineRule="auto"/>
              <w:jc w:val="center"/>
              <w:rPr>
                <w:rFonts w:ascii="宋体" w:hAnsi="宋体"/>
                <w:bCs/>
              </w:rPr>
            </w:pPr>
            <w:r>
              <w:rPr>
                <w:rFonts w:hint="eastAsia" w:ascii="宋体" w:hAnsi="宋体"/>
                <w:bCs/>
              </w:rPr>
              <w:t>进货检验</w:t>
            </w:r>
          </w:p>
        </w:tc>
        <w:tc>
          <w:tcPr>
            <w:tcW w:w="4534" w:type="dxa"/>
            <w:shd w:val="clear" w:color="auto" w:fill="auto"/>
            <w:noWrap/>
            <w:vAlign w:val="center"/>
          </w:tcPr>
          <w:p w14:paraId="390C9B0D">
            <w:pPr>
              <w:snapToGrid w:val="0"/>
              <w:spacing w:line="240" w:lineRule="auto"/>
              <w:rPr>
                <w:rFonts w:ascii="宋体" w:hAnsi="宋体"/>
                <w:bCs/>
              </w:rPr>
            </w:pPr>
            <w:r>
              <w:rPr>
                <w:rFonts w:hint="eastAsia" w:ascii="宋体" w:hAnsi="宋体"/>
                <w:bCs/>
              </w:rPr>
              <w:t>21）采购重要</w:t>
            </w:r>
            <w:r>
              <w:rPr>
                <w:rFonts w:hint="eastAsia" w:ascii="宋体" w:hAnsi="宋体"/>
                <w:bCs/>
                <w:lang w:eastAsia="zh-CN"/>
              </w:rPr>
              <w:t>原材料</w:t>
            </w:r>
            <w:r>
              <w:rPr>
                <w:rFonts w:hint="eastAsia" w:ascii="宋体" w:hAnsi="宋体"/>
                <w:bCs/>
              </w:rPr>
              <w:t>是否按规定进行检验，检验记录应完整、规范并符合相关规定。</w:t>
            </w:r>
          </w:p>
        </w:tc>
        <w:tc>
          <w:tcPr>
            <w:tcW w:w="2677" w:type="dxa"/>
            <w:shd w:val="clear" w:color="auto" w:fill="auto"/>
            <w:noWrap/>
            <w:vAlign w:val="center"/>
          </w:tcPr>
          <w:p w14:paraId="13EC2BBD">
            <w:pPr>
              <w:snapToGrid w:val="0"/>
              <w:spacing w:line="240" w:lineRule="auto"/>
              <w:rPr>
                <w:rFonts w:ascii="宋体" w:hAnsi="宋体"/>
                <w:bCs/>
              </w:rPr>
            </w:pPr>
            <w:r>
              <w:rPr>
                <w:rFonts w:hint="eastAsia" w:ascii="宋体" w:hAnsi="宋体"/>
                <w:bCs/>
              </w:rPr>
              <w:t>出现检验记录不完整、不规范的情况时为否，可判为建议改进。</w:t>
            </w:r>
          </w:p>
          <w:p w14:paraId="0E0E023B">
            <w:pPr>
              <w:snapToGrid w:val="0"/>
              <w:spacing w:line="240" w:lineRule="auto"/>
              <w:rPr>
                <w:rFonts w:ascii="宋体" w:hAnsi="宋体"/>
                <w:bCs/>
              </w:rPr>
            </w:pPr>
            <w:r>
              <w:rPr>
                <w:rFonts w:hint="eastAsia" w:ascii="宋体" w:hAnsi="宋体"/>
                <w:bCs/>
              </w:rPr>
              <w:t>【可建议改进】</w:t>
            </w:r>
          </w:p>
        </w:tc>
        <w:tc>
          <w:tcPr>
            <w:tcW w:w="5269" w:type="dxa"/>
            <w:shd w:val="clear" w:color="auto" w:fill="auto"/>
            <w:noWrap/>
            <w:vAlign w:val="center"/>
          </w:tcPr>
          <w:p w14:paraId="361048D4">
            <w:pPr>
              <w:snapToGrid w:val="0"/>
              <w:spacing w:line="240" w:lineRule="auto"/>
              <w:rPr>
                <w:rFonts w:ascii="宋体" w:hAnsi="宋体"/>
                <w:bCs/>
              </w:rPr>
            </w:pPr>
            <w:r>
              <w:rPr>
                <w:rFonts w:hint="eastAsia" w:ascii="宋体" w:hAnsi="宋体"/>
                <w:bCs/>
              </w:rPr>
              <w:t>原料质量验证的方式有三种：企业自检、原料供应方提供检验报告、第三方检验机构检验。现场查看，检验记录是否与检验规程要求一致；</w:t>
            </w:r>
          </w:p>
          <w:p w14:paraId="02F1449D">
            <w:pPr>
              <w:snapToGrid w:val="0"/>
              <w:spacing w:line="240" w:lineRule="auto"/>
              <w:rPr>
                <w:rFonts w:ascii="宋体" w:hAnsi="宋体"/>
                <w:bCs/>
              </w:rPr>
            </w:pPr>
            <w:r>
              <w:rPr>
                <w:rFonts w:hint="eastAsia" w:ascii="宋体" w:hAnsi="宋体"/>
                <w:bCs/>
              </w:rPr>
              <w:t>自检记录，特别是检验原始记录，关键信息是否完整、记录是否规范。</w:t>
            </w:r>
          </w:p>
        </w:tc>
      </w:tr>
      <w:tr w14:paraId="599A16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42" w:type="dxa"/>
            <w:bottom w:w="0" w:type="dxa"/>
            <w:right w:w="42" w:type="dxa"/>
          </w:tblCellMar>
        </w:tblPrEx>
        <w:trPr>
          <w:cantSplit/>
          <w:trHeight w:val="1173" w:hRule="atLeast"/>
          <w:jc w:val="center"/>
        </w:trPr>
        <w:tc>
          <w:tcPr>
            <w:tcW w:w="743" w:type="dxa"/>
            <w:shd w:val="clear" w:color="auto" w:fill="auto"/>
            <w:noWrap/>
            <w:vAlign w:val="center"/>
          </w:tcPr>
          <w:p w14:paraId="0C1F78E9">
            <w:pPr>
              <w:snapToGrid w:val="0"/>
              <w:spacing w:line="240" w:lineRule="auto"/>
              <w:jc w:val="center"/>
              <w:rPr>
                <w:rFonts w:ascii="宋体" w:hAnsi="宋体"/>
                <w:bCs/>
              </w:rPr>
            </w:pPr>
            <w:r>
              <w:rPr>
                <w:rFonts w:hint="eastAsia" w:ascii="宋体" w:hAnsi="宋体"/>
                <w:bCs/>
              </w:rPr>
              <w:t>5.3</w:t>
            </w:r>
          </w:p>
        </w:tc>
        <w:tc>
          <w:tcPr>
            <w:tcW w:w="702" w:type="dxa"/>
            <w:gridSpan w:val="2"/>
            <w:shd w:val="clear" w:color="auto" w:fill="auto"/>
            <w:noWrap/>
            <w:vAlign w:val="center"/>
          </w:tcPr>
          <w:p w14:paraId="34D22D83">
            <w:pPr>
              <w:snapToGrid w:val="0"/>
              <w:spacing w:line="240" w:lineRule="auto"/>
              <w:jc w:val="center"/>
              <w:rPr>
                <w:rFonts w:ascii="宋体" w:hAnsi="宋体"/>
                <w:bCs/>
              </w:rPr>
            </w:pPr>
            <w:r>
              <w:rPr>
                <w:rFonts w:hint="eastAsia" w:ascii="宋体" w:hAnsi="宋体"/>
                <w:bCs/>
              </w:rPr>
              <w:t>过程检验</w:t>
            </w:r>
          </w:p>
        </w:tc>
        <w:tc>
          <w:tcPr>
            <w:tcW w:w="4534" w:type="dxa"/>
            <w:shd w:val="clear" w:color="auto" w:fill="auto"/>
            <w:noWrap/>
            <w:vAlign w:val="center"/>
          </w:tcPr>
          <w:p w14:paraId="1E6600BB">
            <w:pPr>
              <w:snapToGrid w:val="0"/>
              <w:spacing w:line="240" w:lineRule="auto"/>
              <w:rPr>
                <w:rFonts w:ascii="宋体" w:hAnsi="宋体"/>
                <w:bCs/>
              </w:rPr>
            </w:pPr>
            <w:r>
              <w:rPr>
                <w:rFonts w:hint="eastAsia" w:ascii="宋体" w:hAnsi="宋体"/>
                <w:bCs/>
              </w:rPr>
              <w:t>22）生产过程中的关键技术指标是否按规定进行检验，并保留检验记录。</w:t>
            </w:r>
          </w:p>
        </w:tc>
        <w:tc>
          <w:tcPr>
            <w:tcW w:w="2677" w:type="dxa"/>
            <w:shd w:val="clear" w:color="auto" w:fill="auto"/>
            <w:noWrap/>
            <w:vAlign w:val="center"/>
          </w:tcPr>
          <w:p w14:paraId="37D87E03">
            <w:pPr>
              <w:snapToGrid w:val="0"/>
              <w:spacing w:line="240" w:lineRule="auto"/>
              <w:rPr>
                <w:rFonts w:ascii="宋体" w:hAnsi="宋体"/>
                <w:bCs/>
              </w:rPr>
            </w:pPr>
            <w:r>
              <w:rPr>
                <w:rFonts w:ascii="宋体" w:hAnsi="宋体"/>
                <w:bCs/>
              </w:rPr>
              <w:t>出现</w:t>
            </w:r>
            <w:r>
              <w:rPr>
                <w:rFonts w:hint="eastAsia" w:ascii="宋体" w:hAnsi="宋体"/>
                <w:bCs/>
              </w:rPr>
              <w:t>未</w:t>
            </w:r>
            <w:r>
              <w:rPr>
                <w:rFonts w:ascii="宋体" w:hAnsi="宋体"/>
                <w:bCs/>
              </w:rPr>
              <w:t>做记录</w:t>
            </w:r>
            <w:r>
              <w:rPr>
                <w:rFonts w:hint="eastAsia" w:ascii="宋体" w:hAnsi="宋体"/>
                <w:bCs/>
              </w:rPr>
              <w:t>及</w:t>
            </w:r>
            <w:r>
              <w:rPr>
                <w:rFonts w:ascii="宋体" w:hAnsi="宋体"/>
                <w:bCs/>
              </w:rPr>
              <w:t>记录</w:t>
            </w:r>
            <w:r>
              <w:rPr>
                <w:rFonts w:hint="eastAsia" w:ascii="宋体" w:hAnsi="宋体"/>
                <w:bCs/>
              </w:rPr>
              <w:t>多</w:t>
            </w:r>
            <w:r>
              <w:rPr>
                <w:rFonts w:ascii="宋体" w:hAnsi="宋体"/>
                <w:bCs/>
              </w:rPr>
              <w:t>处不全</w:t>
            </w:r>
            <w:r>
              <w:rPr>
                <w:rFonts w:hint="eastAsia" w:ascii="宋体" w:hAnsi="宋体"/>
                <w:bCs/>
              </w:rPr>
              <w:t>的情况时</w:t>
            </w:r>
            <w:r>
              <w:rPr>
                <w:rFonts w:ascii="宋体" w:hAnsi="宋体"/>
                <w:bCs/>
              </w:rPr>
              <w:t>为否，判</w:t>
            </w:r>
            <w:r>
              <w:rPr>
                <w:rFonts w:hint="eastAsia" w:ascii="宋体" w:hAnsi="宋体"/>
                <w:bCs/>
              </w:rPr>
              <w:t>为不符合。</w:t>
            </w:r>
          </w:p>
          <w:p w14:paraId="2C9EE7D9">
            <w:pPr>
              <w:snapToGrid w:val="0"/>
              <w:spacing w:line="240" w:lineRule="auto"/>
              <w:rPr>
                <w:rFonts w:ascii="宋体" w:hAnsi="宋体"/>
                <w:bCs/>
              </w:rPr>
            </w:pPr>
            <w:r>
              <w:rPr>
                <w:rFonts w:hint="eastAsia" w:ascii="宋体" w:hAnsi="宋体"/>
                <w:bCs/>
              </w:rPr>
              <w:t>【可建议改进，可不适用】</w:t>
            </w:r>
          </w:p>
        </w:tc>
        <w:tc>
          <w:tcPr>
            <w:tcW w:w="5269" w:type="dxa"/>
            <w:shd w:val="clear" w:color="auto" w:fill="auto"/>
            <w:noWrap/>
            <w:vAlign w:val="center"/>
          </w:tcPr>
          <w:p w14:paraId="40B383A2">
            <w:pPr>
              <w:snapToGrid w:val="0"/>
              <w:spacing w:line="240" w:lineRule="auto"/>
              <w:rPr>
                <w:rFonts w:ascii="宋体" w:hAnsi="宋体"/>
                <w:bCs/>
              </w:rPr>
            </w:pPr>
            <w:r>
              <w:rPr>
                <w:rFonts w:hint="eastAsia" w:ascii="宋体" w:hAnsi="宋体"/>
                <w:bCs/>
              </w:rPr>
              <w:t>1、现场查看，过程检验是否有设计规范、信息齐全的原始检验记录格式；</w:t>
            </w:r>
          </w:p>
          <w:p w14:paraId="7D2D96A9">
            <w:pPr>
              <w:snapToGrid w:val="0"/>
              <w:spacing w:line="240" w:lineRule="auto"/>
              <w:rPr>
                <w:rFonts w:ascii="宋体" w:hAnsi="宋体"/>
                <w:bCs/>
              </w:rPr>
            </w:pPr>
            <w:r>
              <w:rPr>
                <w:rFonts w:hint="eastAsia" w:ascii="宋体" w:hAnsi="宋体"/>
                <w:bCs/>
              </w:rPr>
              <w:t>2、过程检验是否仅记录结果，使用检测设备、检验人员、环境条件、计算公式等关键信息缺失。</w:t>
            </w:r>
          </w:p>
        </w:tc>
      </w:tr>
      <w:tr w14:paraId="588CEB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42" w:type="dxa"/>
            <w:bottom w:w="0" w:type="dxa"/>
            <w:right w:w="42" w:type="dxa"/>
          </w:tblCellMar>
        </w:tblPrEx>
        <w:trPr>
          <w:cantSplit/>
          <w:trHeight w:val="1018" w:hRule="atLeast"/>
          <w:jc w:val="center"/>
        </w:trPr>
        <w:tc>
          <w:tcPr>
            <w:tcW w:w="743" w:type="dxa"/>
            <w:shd w:val="clear" w:color="auto" w:fill="auto"/>
            <w:noWrap/>
            <w:vAlign w:val="center"/>
          </w:tcPr>
          <w:p w14:paraId="08858703">
            <w:pPr>
              <w:snapToGrid w:val="0"/>
              <w:spacing w:line="240" w:lineRule="auto"/>
              <w:jc w:val="center"/>
              <w:rPr>
                <w:rFonts w:ascii="宋体" w:hAnsi="宋体"/>
                <w:bCs/>
              </w:rPr>
            </w:pPr>
            <w:r>
              <w:rPr>
                <w:rFonts w:hint="eastAsia" w:ascii="宋体" w:hAnsi="宋体"/>
                <w:bCs/>
              </w:rPr>
              <w:t>5.4</w:t>
            </w:r>
          </w:p>
        </w:tc>
        <w:tc>
          <w:tcPr>
            <w:tcW w:w="702" w:type="dxa"/>
            <w:gridSpan w:val="2"/>
            <w:shd w:val="clear" w:color="auto" w:fill="auto"/>
            <w:noWrap/>
            <w:vAlign w:val="center"/>
          </w:tcPr>
          <w:p w14:paraId="5F6DA107">
            <w:pPr>
              <w:snapToGrid w:val="0"/>
              <w:spacing w:line="240" w:lineRule="auto"/>
              <w:jc w:val="center"/>
              <w:rPr>
                <w:rFonts w:ascii="宋体" w:hAnsi="宋体"/>
                <w:bCs/>
              </w:rPr>
            </w:pPr>
            <w:r>
              <w:rPr>
                <w:rFonts w:hint="eastAsia" w:ascii="宋体" w:hAnsi="宋体"/>
                <w:bCs/>
              </w:rPr>
              <w:t>出厂检验</w:t>
            </w:r>
          </w:p>
        </w:tc>
        <w:tc>
          <w:tcPr>
            <w:tcW w:w="4534" w:type="dxa"/>
            <w:shd w:val="clear" w:color="auto" w:fill="auto"/>
            <w:noWrap/>
            <w:vAlign w:val="center"/>
          </w:tcPr>
          <w:p w14:paraId="02965669">
            <w:pPr>
              <w:snapToGrid w:val="0"/>
              <w:spacing w:line="240" w:lineRule="auto"/>
              <w:rPr>
                <w:rFonts w:ascii="宋体" w:hAnsi="宋体"/>
                <w:bCs/>
              </w:rPr>
            </w:pPr>
            <w:r>
              <w:rPr>
                <w:rFonts w:hint="eastAsia" w:ascii="宋体" w:hAnsi="宋体"/>
                <w:bCs/>
              </w:rPr>
              <w:t>23）成品出厂是否按规定进行出厂检验，检验记录应完整、规范并符合相关标准的规定。</w:t>
            </w:r>
          </w:p>
        </w:tc>
        <w:tc>
          <w:tcPr>
            <w:tcW w:w="2677" w:type="dxa"/>
            <w:shd w:val="clear" w:color="auto" w:fill="auto"/>
            <w:noWrap/>
            <w:vAlign w:val="center"/>
          </w:tcPr>
          <w:p w14:paraId="7327182D">
            <w:pPr>
              <w:snapToGrid w:val="0"/>
              <w:spacing w:line="240" w:lineRule="auto"/>
              <w:rPr>
                <w:rFonts w:ascii="宋体" w:hAnsi="宋体"/>
                <w:bCs/>
              </w:rPr>
            </w:pPr>
            <w:r>
              <w:rPr>
                <w:rFonts w:hint="eastAsia" w:ascii="宋体" w:hAnsi="宋体"/>
                <w:bCs/>
              </w:rPr>
              <w:t>出厂检验应符合相关标准的规定。对</w:t>
            </w:r>
            <w:r>
              <w:rPr>
                <w:rFonts w:ascii="宋体" w:hAnsi="宋体"/>
                <w:bCs/>
              </w:rPr>
              <w:t>于出现</w:t>
            </w:r>
            <w:r>
              <w:rPr>
                <w:rFonts w:hint="eastAsia" w:ascii="宋体" w:hAnsi="宋体"/>
                <w:bCs/>
              </w:rPr>
              <w:t>未</w:t>
            </w:r>
            <w:r>
              <w:rPr>
                <w:rFonts w:ascii="宋体" w:hAnsi="宋体"/>
                <w:bCs/>
              </w:rPr>
              <w:t>做记录</w:t>
            </w:r>
            <w:r>
              <w:rPr>
                <w:rFonts w:hint="eastAsia" w:ascii="宋体" w:hAnsi="宋体"/>
                <w:bCs/>
              </w:rPr>
              <w:t>及</w:t>
            </w:r>
            <w:r>
              <w:rPr>
                <w:rFonts w:ascii="宋体" w:hAnsi="宋体"/>
                <w:bCs/>
              </w:rPr>
              <w:t>记录</w:t>
            </w:r>
            <w:r>
              <w:rPr>
                <w:rFonts w:hint="eastAsia" w:ascii="宋体" w:hAnsi="宋体"/>
                <w:bCs/>
              </w:rPr>
              <w:t>多</w:t>
            </w:r>
            <w:r>
              <w:rPr>
                <w:rFonts w:ascii="宋体" w:hAnsi="宋体"/>
                <w:bCs/>
              </w:rPr>
              <w:t>处不全</w:t>
            </w:r>
            <w:r>
              <w:rPr>
                <w:rFonts w:hint="eastAsia" w:ascii="宋体" w:hAnsi="宋体"/>
                <w:bCs/>
              </w:rPr>
              <w:t>的则</w:t>
            </w:r>
            <w:r>
              <w:rPr>
                <w:rFonts w:ascii="宋体" w:hAnsi="宋体"/>
                <w:bCs/>
              </w:rPr>
              <w:t>为否，判</w:t>
            </w:r>
            <w:r>
              <w:rPr>
                <w:rFonts w:hint="eastAsia" w:ascii="宋体" w:hAnsi="宋体"/>
                <w:bCs/>
              </w:rPr>
              <w:t>为</w:t>
            </w:r>
            <w:r>
              <w:rPr>
                <w:rFonts w:ascii="宋体" w:hAnsi="宋体"/>
                <w:bCs/>
              </w:rPr>
              <w:t>不符合</w:t>
            </w:r>
            <w:r>
              <w:rPr>
                <w:rFonts w:hint="eastAsia" w:ascii="宋体" w:hAnsi="宋体"/>
                <w:bCs/>
              </w:rPr>
              <w:t>。</w:t>
            </w:r>
          </w:p>
          <w:p w14:paraId="40437AFD">
            <w:pPr>
              <w:snapToGrid w:val="0"/>
              <w:spacing w:line="240" w:lineRule="auto"/>
              <w:rPr>
                <w:rFonts w:ascii="宋体" w:hAnsi="宋体"/>
                <w:bCs/>
              </w:rPr>
            </w:pPr>
            <w:r>
              <w:rPr>
                <w:rFonts w:hint="eastAsia" w:ascii="宋体" w:hAnsi="宋体"/>
                <w:bCs/>
              </w:rPr>
              <w:t>【否决项】</w:t>
            </w:r>
          </w:p>
        </w:tc>
        <w:tc>
          <w:tcPr>
            <w:tcW w:w="5269" w:type="dxa"/>
            <w:shd w:val="clear" w:color="auto" w:fill="auto"/>
            <w:noWrap/>
            <w:vAlign w:val="center"/>
          </w:tcPr>
          <w:p w14:paraId="723E319A">
            <w:pPr>
              <w:snapToGrid w:val="0"/>
              <w:spacing w:line="240" w:lineRule="auto"/>
              <w:rPr>
                <w:rFonts w:ascii="宋体" w:hAnsi="宋体"/>
                <w:bCs/>
              </w:rPr>
            </w:pPr>
            <w:r>
              <w:rPr>
                <w:rFonts w:hint="eastAsia" w:ascii="宋体" w:hAnsi="宋体"/>
                <w:bCs/>
              </w:rPr>
              <w:t>1、现场查看，出厂检验是否有设计规范、信息齐全的原始检验记录格式；</w:t>
            </w:r>
          </w:p>
          <w:p w14:paraId="5E17F1AE">
            <w:pPr>
              <w:snapToGrid w:val="0"/>
              <w:spacing w:line="240" w:lineRule="auto"/>
              <w:rPr>
                <w:rFonts w:ascii="宋体" w:hAnsi="宋体"/>
                <w:bCs/>
              </w:rPr>
            </w:pPr>
            <w:r>
              <w:rPr>
                <w:rFonts w:hint="eastAsia" w:ascii="宋体" w:hAnsi="宋体"/>
                <w:bCs/>
              </w:rPr>
              <w:t>2、出厂检验记录是否有样品名称及编号、试验环境温湿度记录、所用测量设备的名称及编号（及量值溯源有效期）、平行试验、采用滴定分析的，滴定管体积及温度校正、数值修约是否修约、检验结果有效性进行评价；使用计算机采集分析和出具数据的，其谱图的管理是否规范；记录报告是否有涂改，等等。</w:t>
            </w:r>
          </w:p>
        </w:tc>
      </w:tr>
      <w:tr w14:paraId="73368C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42" w:type="dxa"/>
            <w:bottom w:w="0" w:type="dxa"/>
            <w:right w:w="42" w:type="dxa"/>
          </w:tblCellMar>
        </w:tblPrEx>
        <w:trPr>
          <w:cantSplit/>
          <w:trHeight w:val="767" w:hRule="atLeast"/>
          <w:jc w:val="center"/>
        </w:trPr>
        <w:tc>
          <w:tcPr>
            <w:tcW w:w="743" w:type="dxa"/>
            <w:shd w:val="clear" w:color="auto" w:fill="auto"/>
            <w:noWrap/>
            <w:vAlign w:val="center"/>
          </w:tcPr>
          <w:p w14:paraId="0FF3C1C6">
            <w:pPr>
              <w:snapToGrid w:val="0"/>
              <w:spacing w:line="240" w:lineRule="auto"/>
              <w:jc w:val="center"/>
              <w:rPr>
                <w:rFonts w:ascii="宋体" w:hAnsi="宋体"/>
                <w:bCs/>
              </w:rPr>
            </w:pPr>
            <w:r>
              <w:rPr>
                <w:rFonts w:hint="eastAsia" w:ascii="宋体" w:hAnsi="宋体"/>
                <w:bCs/>
              </w:rPr>
              <w:t>5.5</w:t>
            </w:r>
          </w:p>
        </w:tc>
        <w:tc>
          <w:tcPr>
            <w:tcW w:w="702" w:type="dxa"/>
            <w:gridSpan w:val="2"/>
            <w:shd w:val="clear" w:color="auto" w:fill="auto"/>
            <w:noWrap/>
            <w:vAlign w:val="center"/>
          </w:tcPr>
          <w:p w14:paraId="1D36C626">
            <w:pPr>
              <w:snapToGrid w:val="0"/>
              <w:spacing w:line="240" w:lineRule="auto"/>
              <w:jc w:val="center"/>
              <w:rPr>
                <w:rFonts w:ascii="宋体" w:hAnsi="宋体"/>
                <w:bCs/>
              </w:rPr>
            </w:pPr>
            <w:r>
              <w:rPr>
                <w:rFonts w:hint="eastAsia" w:ascii="宋体" w:hAnsi="宋体"/>
                <w:bCs/>
              </w:rPr>
              <w:t>不合格品控制</w:t>
            </w:r>
          </w:p>
        </w:tc>
        <w:tc>
          <w:tcPr>
            <w:tcW w:w="4534" w:type="dxa"/>
            <w:shd w:val="clear" w:color="auto" w:fill="auto"/>
            <w:noWrap/>
            <w:vAlign w:val="center"/>
          </w:tcPr>
          <w:p w14:paraId="5C28F6FD">
            <w:pPr>
              <w:snapToGrid w:val="0"/>
              <w:spacing w:line="240" w:lineRule="auto"/>
              <w:rPr>
                <w:rFonts w:ascii="宋体" w:hAnsi="宋体"/>
                <w:bCs/>
              </w:rPr>
            </w:pPr>
            <w:r>
              <w:rPr>
                <w:rFonts w:hint="eastAsia" w:ascii="宋体" w:hAnsi="宋体"/>
                <w:bCs/>
              </w:rPr>
              <w:t>24）</w:t>
            </w:r>
            <w:r>
              <w:rPr>
                <w:rFonts w:hint="eastAsia" w:ascii="宋体" w:hAnsi="宋体"/>
              </w:rPr>
              <w:t>是否对不合格品的控制和处置作出明确规定并执行到位。</w:t>
            </w:r>
          </w:p>
        </w:tc>
        <w:tc>
          <w:tcPr>
            <w:tcW w:w="2677" w:type="dxa"/>
            <w:shd w:val="clear" w:color="auto" w:fill="auto"/>
            <w:noWrap/>
            <w:vAlign w:val="center"/>
          </w:tcPr>
          <w:p w14:paraId="67EC8012">
            <w:pPr>
              <w:snapToGrid w:val="0"/>
              <w:spacing w:line="240" w:lineRule="auto"/>
              <w:rPr>
                <w:rFonts w:ascii="宋体" w:hAnsi="宋体"/>
                <w:bCs/>
              </w:rPr>
            </w:pPr>
            <w:r>
              <w:rPr>
                <w:rFonts w:hint="eastAsia" w:ascii="宋体" w:hAnsi="宋体"/>
                <w:bCs/>
              </w:rPr>
              <w:t>对不合格品的控制和处置未作出明确规定的</w:t>
            </w:r>
            <w:r>
              <w:rPr>
                <w:rFonts w:ascii="宋体" w:hAnsi="宋体"/>
                <w:bCs/>
              </w:rPr>
              <w:t>，</w:t>
            </w:r>
            <w:r>
              <w:rPr>
                <w:rFonts w:hint="eastAsia" w:ascii="宋体" w:hAnsi="宋体"/>
                <w:bCs/>
              </w:rPr>
              <w:t>为否，</w:t>
            </w:r>
            <w:r>
              <w:rPr>
                <w:rFonts w:ascii="宋体" w:hAnsi="宋体"/>
                <w:bCs/>
              </w:rPr>
              <w:t>判为不符合</w:t>
            </w:r>
            <w:r>
              <w:rPr>
                <w:rFonts w:hint="eastAsia" w:ascii="宋体" w:hAnsi="宋体"/>
                <w:bCs/>
              </w:rPr>
              <w:t>。</w:t>
            </w:r>
          </w:p>
          <w:p w14:paraId="43B9FD48">
            <w:pPr>
              <w:snapToGrid w:val="0"/>
              <w:spacing w:line="240" w:lineRule="auto"/>
              <w:rPr>
                <w:rFonts w:ascii="宋体" w:hAnsi="宋体"/>
                <w:bCs/>
              </w:rPr>
            </w:pPr>
            <w:r>
              <w:rPr>
                <w:rFonts w:hint="eastAsia" w:ascii="宋体" w:hAnsi="宋体"/>
                <w:bCs/>
              </w:rPr>
              <w:t>【否决项】</w:t>
            </w:r>
          </w:p>
        </w:tc>
        <w:tc>
          <w:tcPr>
            <w:tcW w:w="5269" w:type="dxa"/>
            <w:shd w:val="clear" w:color="auto" w:fill="auto"/>
            <w:noWrap/>
            <w:vAlign w:val="center"/>
          </w:tcPr>
          <w:p w14:paraId="17351F4E">
            <w:pPr>
              <w:snapToGrid w:val="0"/>
              <w:spacing w:line="240" w:lineRule="auto"/>
              <w:rPr>
                <w:rFonts w:ascii="宋体" w:hAnsi="宋体"/>
                <w:bCs/>
              </w:rPr>
            </w:pPr>
            <w:r>
              <w:rPr>
                <w:rFonts w:hint="eastAsia" w:ascii="宋体" w:hAnsi="宋体"/>
                <w:bCs/>
              </w:rPr>
              <w:t>1、现场查看是否有规定，规定中是否有返工后重新检验的规定；</w:t>
            </w:r>
          </w:p>
          <w:p w14:paraId="32837D94">
            <w:pPr>
              <w:snapToGrid w:val="0"/>
              <w:spacing w:line="240" w:lineRule="auto"/>
              <w:rPr>
                <w:rFonts w:ascii="宋体" w:hAnsi="宋体"/>
                <w:bCs/>
              </w:rPr>
            </w:pPr>
            <w:r>
              <w:rPr>
                <w:rFonts w:hint="eastAsia" w:ascii="宋体" w:hAnsi="宋体"/>
                <w:bCs/>
              </w:rPr>
              <w:t>2、查记录。应注意第一次检验不合格记录、评审和处理记录、第二次检验记录应存放在一起备查。</w:t>
            </w:r>
          </w:p>
        </w:tc>
      </w:tr>
      <w:bookmarkEnd w:id="40"/>
    </w:tbl>
    <w:p w14:paraId="388DD170">
      <w:pPr>
        <w:pStyle w:val="76"/>
        <w:numPr>
          <w:ilvl w:val="0"/>
          <w:numId w:val="0"/>
        </w:numPr>
        <w:spacing w:after="156"/>
        <w:jc w:val="both"/>
        <w:sectPr>
          <w:headerReference r:id="rId23" w:type="default"/>
          <w:footerReference r:id="rId25" w:type="default"/>
          <w:headerReference r:id="rId24" w:type="even"/>
          <w:footerReference r:id="rId26" w:type="even"/>
          <w:pgSz w:w="16838" w:h="11906" w:orient="landscape"/>
          <w:pgMar w:top="1134" w:right="1871" w:bottom="1134" w:left="1134" w:header="1418" w:footer="1247" w:gutter="284"/>
          <w:cols w:space="425" w:num="1"/>
          <w:formProt w:val="0"/>
          <w:docGrid w:type="lines" w:linePitch="312" w:charSpace="0"/>
        </w:sectPr>
      </w:pPr>
    </w:p>
    <w:p w14:paraId="2A9FA40E">
      <w:pPr>
        <w:pStyle w:val="63"/>
        <w:spacing w:after="156"/>
      </w:pPr>
      <w:r>
        <w:rPr>
          <w:rFonts w:hint="eastAsia"/>
          <w:spacing w:val="105"/>
        </w:rPr>
        <w:t>参考文</w:t>
      </w:r>
      <w:r>
        <w:rPr>
          <w:rFonts w:hint="eastAsia"/>
        </w:rPr>
        <w:t>献</w:t>
      </w:r>
    </w:p>
    <w:p w14:paraId="52744FA0">
      <w:pPr>
        <w:spacing w:before="68" w:line="220" w:lineRule="auto"/>
        <w:ind w:left="453"/>
        <w:rPr>
          <w:rFonts w:ascii="宋体" w:hAnsi="宋体" w:cs="宋体"/>
        </w:rPr>
      </w:pPr>
      <w:r>
        <w:rPr>
          <w:rFonts w:ascii="宋体" w:hAnsi="宋体" w:cs="宋体"/>
          <w:spacing w:val="-3"/>
        </w:rPr>
        <w:t>[1]《中华人民共和国工业产品生产许可证管理条例》（中华人民共和国国务院令 第440号）</w:t>
      </w:r>
    </w:p>
    <w:p w14:paraId="789EE21E">
      <w:pPr>
        <w:spacing w:before="62" w:line="248" w:lineRule="auto"/>
        <w:ind w:left="5" w:firstLine="447"/>
        <w:rPr>
          <w:rFonts w:ascii="宋体" w:hAnsi="宋体" w:cs="宋体"/>
        </w:rPr>
      </w:pPr>
      <w:r>
        <w:rPr>
          <w:rFonts w:ascii="宋体" w:hAnsi="宋体" w:cs="宋体"/>
          <w:spacing w:val="-2"/>
        </w:rPr>
        <w:t>[2]《中华人民共和国工业产品生产许可</w:t>
      </w:r>
      <w:r>
        <w:rPr>
          <w:rFonts w:ascii="宋体" w:hAnsi="宋体" w:cs="宋体"/>
          <w:spacing w:val="-3"/>
        </w:rPr>
        <w:t>证管理条例实施办法》（国家市场监督管理总局令 第61</w:t>
      </w:r>
      <w:r>
        <w:rPr>
          <w:rFonts w:ascii="宋体" w:hAnsi="宋体" w:cs="宋体"/>
          <w:spacing w:val="-7"/>
        </w:rPr>
        <w:t>号）</w:t>
      </w:r>
    </w:p>
    <w:p w14:paraId="57411010">
      <w:pPr>
        <w:spacing w:before="59" w:line="248" w:lineRule="auto"/>
        <w:ind w:left="5" w:firstLine="447"/>
        <w:rPr>
          <w:rFonts w:ascii="宋体" w:hAnsi="宋体" w:cs="宋体"/>
        </w:rPr>
      </w:pPr>
      <w:r>
        <w:rPr>
          <w:rFonts w:ascii="宋体" w:hAnsi="宋体" w:cs="宋体"/>
          <w:spacing w:val="-2"/>
        </w:rPr>
        <w:t>[3]《工业产品生产单位落实质量安全主</w:t>
      </w:r>
      <w:r>
        <w:rPr>
          <w:rFonts w:ascii="宋体" w:hAnsi="宋体" w:cs="宋体"/>
          <w:spacing w:val="-3"/>
        </w:rPr>
        <w:t>体责任监督管理规定》（国家市场监督管理总局令 第75</w:t>
      </w:r>
      <w:r>
        <w:rPr>
          <w:rFonts w:ascii="宋体" w:hAnsi="宋体" w:cs="宋体"/>
          <w:spacing w:val="-7"/>
        </w:rPr>
        <w:t>号）</w:t>
      </w:r>
    </w:p>
    <w:p w14:paraId="73DA7E61">
      <w:pPr>
        <w:spacing w:before="58" w:line="247" w:lineRule="auto"/>
        <w:ind w:firstLine="453"/>
        <w:rPr>
          <w:rFonts w:ascii="宋体" w:hAnsi="宋体" w:cs="宋体"/>
        </w:rPr>
      </w:pPr>
      <w:r>
        <w:rPr>
          <w:rFonts w:ascii="宋体" w:hAnsi="宋体" w:cs="宋体"/>
        </w:rPr>
        <w:t>[4]工业产品生产许可证实施通则及各工业产品生产许可证实施细则（市场监管总局关于公布工 业产品生产许可证实施通则及实施细则的公告〔2018</w:t>
      </w:r>
      <w:r>
        <w:rPr>
          <w:rFonts w:ascii="宋体" w:hAnsi="宋体" w:cs="宋体"/>
          <w:spacing w:val="-1"/>
        </w:rPr>
        <w:t>年 第26号〕)</w:t>
      </w:r>
    </w:p>
    <w:p w14:paraId="6A734B7D">
      <w:pPr>
        <w:spacing w:before="64" w:line="247" w:lineRule="auto"/>
        <w:ind w:left="6" w:right="9" w:firstLine="447"/>
        <w:rPr>
          <w:rFonts w:ascii="宋体" w:hAnsi="宋体" w:cs="宋体"/>
          <w:spacing w:val="-2"/>
        </w:rPr>
      </w:pPr>
      <w:r>
        <w:rPr>
          <w:rFonts w:ascii="宋体" w:hAnsi="宋体" w:cs="宋体"/>
          <w:spacing w:val="-6"/>
        </w:rPr>
        <w:t>[5]《安徽省市场监督管理局工业产品、特殊食品生产许可技术评审工作</w:t>
      </w:r>
      <w:r>
        <w:rPr>
          <w:rFonts w:ascii="宋体" w:hAnsi="宋体" w:cs="宋体"/>
          <w:spacing w:val="-7"/>
        </w:rPr>
        <w:t>管理办法（试行）》（皖</w:t>
      </w:r>
      <w:r>
        <w:rPr>
          <w:rFonts w:ascii="宋体" w:hAnsi="宋体" w:cs="宋体"/>
          <w:spacing w:val="-2"/>
        </w:rPr>
        <w:t>市监办发〔2019〕32号）</w:t>
      </w:r>
      <w:bookmarkStart w:id="41" w:name="BookMark6"/>
    </w:p>
    <w:p w14:paraId="312D2F35">
      <w:pPr>
        <w:spacing w:before="64" w:line="247" w:lineRule="auto"/>
        <w:ind w:right="9"/>
        <w:rPr>
          <w:rFonts w:ascii="宋体" w:hAnsi="宋体" w:cs="宋体"/>
        </w:rPr>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type="lines" w:linePitch="312" w:charSpace="0"/>
        </w:sectPr>
      </w:pPr>
    </w:p>
    <w:p w14:paraId="596187A9">
      <w:pPr>
        <w:pStyle w:val="56"/>
        <w:ind w:firstLine="0" w:firstLineChars="0"/>
        <w:jc w:val="center"/>
      </w:pPr>
      <w:bookmarkStart w:id="42" w:name="BookMark8"/>
      <w:r>
        <w:drawing>
          <wp:inline distT="0" distB="0" distL="0" distR="0">
            <wp:extent cx="1485900" cy="317500"/>
            <wp:effectExtent l="0" t="0" r="0" b="6350"/>
            <wp:docPr id="827214931" name="图片 6"/>
            <wp:cNvGraphicFramePr/>
            <a:graphic xmlns:a="http://schemas.openxmlformats.org/drawingml/2006/main">
              <a:graphicData uri="http://schemas.openxmlformats.org/drawingml/2006/picture">
                <pic:pic xmlns:pic="http://schemas.openxmlformats.org/drawingml/2006/picture">
                  <pic:nvPicPr>
                    <pic:cNvPr id="827214931" name="图片 6"/>
                    <pic:cNvPicPr/>
                  </pic:nvPicPr>
                  <pic:blipFill>
                    <a:blip r:embed="rId3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2"/>
    </w:p>
    <w:p w14:paraId="0CD04568">
      <w:pPr>
        <w:rPr>
          <w:rFonts w:ascii="Times New Roman" w:hAnsi="Times New Roman"/>
          <w:kern w:val="0"/>
          <w:szCs w:val="20"/>
        </w:rPr>
      </w:pPr>
    </w:p>
    <w:p w14:paraId="7FFCC88C">
      <w:pPr>
        <w:tabs>
          <w:tab w:val="left" w:pos="6948"/>
        </w:tabs>
        <w:jc w:val="center"/>
      </w:pPr>
      <w:r>
        <w:tab/>
      </w:r>
      <w:bookmarkEnd w:id="41"/>
    </w:p>
    <w:sectPr>
      <w:headerReference r:id="rId31" w:type="default"/>
      <w:footerReference r:id="rId33" w:type="default"/>
      <w:headerReference r:id="rId32" w:type="even"/>
      <w:footerReference r:id="rId34"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650B3">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28340"/>
      <w:docPartObj>
        <w:docPartGallery w:val="autotext"/>
      </w:docPartObj>
    </w:sdtPr>
    <w:sdtContent>
      <w:p w14:paraId="6BD1F132">
        <w:pPr>
          <w:pStyle w:val="17"/>
        </w:pPr>
        <w:r>
          <w:fldChar w:fldCharType="begin"/>
        </w:r>
        <w:r>
          <w:instrText xml:space="preserve"> PAGE   \* MERGEFORMAT </w:instrText>
        </w:r>
        <w:r>
          <w:fldChar w:fldCharType="separate"/>
        </w:r>
        <w:r>
          <w:rPr>
            <w:lang w:val="zh-CN"/>
          </w:rPr>
          <w:t>4</w:t>
        </w:r>
        <w:r>
          <w:fldChar w:fldCharType="end"/>
        </w:r>
      </w:p>
    </w:sdtContent>
  </w:sdt>
  <w:p w14:paraId="0684EB3A">
    <w:pPr>
      <w:pStyle w:val="52"/>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8A6A7">
    <w:pPr>
      <w:pStyle w:val="17"/>
    </w:pPr>
  </w:p>
  <w:p w14:paraId="41F4EAD1">
    <w:pPr>
      <w:pStyle w:val="51"/>
    </w:pPr>
    <w:r>
      <w:rPr>
        <w:rFonts w:hint="eastAsia"/>
      </w:rPr>
      <w:t>10</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28342"/>
      <w:docPartObj>
        <w:docPartGallery w:val="autotext"/>
      </w:docPartObj>
    </w:sdtPr>
    <w:sdtContent>
      <w:p w14:paraId="644C7EFD">
        <w:pPr>
          <w:pStyle w:val="17"/>
        </w:pPr>
        <w:r>
          <w:fldChar w:fldCharType="begin"/>
        </w:r>
        <w:r>
          <w:instrText xml:space="preserve"> PAGE   \* MERGEFORMAT </w:instrText>
        </w:r>
        <w:r>
          <w:fldChar w:fldCharType="separate"/>
        </w:r>
        <w:r>
          <w:rPr>
            <w:lang w:val="zh-CN"/>
          </w:rPr>
          <w:t>11</w:t>
        </w:r>
        <w:r>
          <w:fldChar w:fldCharType="end"/>
        </w:r>
      </w:p>
    </w:sdtContent>
  </w:sdt>
  <w:p w14:paraId="593FCA9B">
    <w:pPr>
      <w:pStyle w:val="52"/>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5263A">
    <w:pPr>
      <w:pStyle w:val="51"/>
    </w:pPr>
    <w:r>
      <w:fldChar w:fldCharType="begin"/>
    </w:r>
    <w:r>
      <w:instrText xml:space="preserve"> PAGE   \* MERGEFORMAT \* MERGEFORMAT </w:instrText>
    </w:r>
    <w:r>
      <w:fldChar w:fldCharType="separate"/>
    </w:r>
    <w:r>
      <w:t>10</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B1D9E">
    <w:pPr>
      <w:pStyle w:val="17"/>
    </w:pPr>
    <w:r>
      <w:rPr>
        <w:rFonts w:hint="eastAsia"/>
      </w:rPr>
      <w:t>12</w:t>
    </w:r>
  </w:p>
  <w:p w14:paraId="52988034">
    <w:pPr>
      <w:pStyle w:val="52"/>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B34A8">
    <w:pPr>
      <w:pStyle w:val="51"/>
    </w:pPr>
    <w:r>
      <w:fldChar w:fldCharType="begin"/>
    </w:r>
    <w:r>
      <w:instrText xml:space="preserve"> PAGE   \* MERGEFORMAT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DDB2C">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FD2F0">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0A9BF">
    <w:pPr>
      <w:pStyle w:val="5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1FDE8A">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2B416">
    <w:pPr>
      <w:pStyle w:val="5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122E3">
    <w:pPr>
      <w:pStyle w:val="51"/>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28339"/>
      <w:docPartObj>
        <w:docPartGallery w:val="autotext"/>
      </w:docPartObj>
    </w:sdtPr>
    <w:sdtContent>
      <w:p w14:paraId="772B38B3">
        <w:pPr>
          <w:pStyle w:val="17"/>
        </w:pPr>
        <w:r>
          <w:fldChar w:fldCharType="begin"/>
        </w:r>
        <w:r>
          <w:instrText xml:space="preserve"> PAGE   \* MERGEFORMAT </w:instrText>
        </w:r>
        <w:r>
          <w:fldChar w:fldCharType="separate"/>
        </w:r>
        <w:r>
          <w:rPr>
            <w:lang w:val="zh-CN"/>
          </w:rPr>
          <w:t>3</w:t>
        </w:r>
        <w:r>
          <w:fldChar w:fldCharType="end"/>
        </w:r>
      </w:p>
    </w:sdtContent>
  </w:sdt>
  <w:p w14:paraId="7D236F9F">
    <w:pPr>
      <w:pStyle w:val="52"/>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951D9">
    <w:pPr>
      <w:pStyle w:val="51"/>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E906A">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4B106">
    <w:pPr>
      <w:pStyle w:val="61"/>
    </w:pPr>
    <w:r>
      <w:fldChar w:fldCharType="begin"/>
    </w:r>
    <w:r>
      <w:instrText xml:space="preserve"> STYLEREF  标准文件_文件编号  \* MERGEFORMAT </w:instrText>
    </w:r>
    <w:r>
      <w:fldChar w:fldCharType="separate"/>
    </w:r>
    <w:r>
      <w:t>DB34/TXXXX—XXXX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21213">
    <w:pPr>
      <w:pStyle w:val="62"/>
    </w:pPr>
    <w:r>
      <w:pict>
        <v:shape id="_x0000_s3073" o:spid="_x0000_s3073" o:spt="202" type="#_x0000_t202" style="position:absolute;left:0pt;margin-left:65.8pt;margin-top:-5.25pt;height:146.75pt;width:53.5pt;mso-position-horizontal-relative:page;mso-position-vertical-relative:page;rotation:-5898240f;z-index:251661312;v-text-anchor:bottom;mso-width-relative:page;mso-height-relative:page;" filled="f" stroked="f" coordsize="21600,21600" o:gfxdata="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4FCYZNoAAAALAQAADwAAAAAAAAABACAA&#10;AAAiAAAAZHJzL2Rvd25yZXYueG1sUEsBAhQAFAAAAAgAh07iQF/AJ6lEAgAAdwQAAA4AAAAAAAAA&#10;AQAgAAAAKQEAAGRycy9lMm9Eb2MueG1sUEsFBgAAAAAGAAYAWQEAAN8FAAAAAA==&#10;">
          <v:path/>
          <v:fill on="f" focussize="0,0"/>
          <v:stroke on="f" weight="0.5pt" joinstyle="miter"/>
          <v:imagedata o:title=""/>
          <o:lock v:ext="edit"/>
          <v:textbox style="layout-flow:vertical-ideographic;">
            <w:txbxContent>
              <w:p w14:paraId="59612074">
                <w:pPr>
                  <w:pStyle w:val="61"/>
                </w:pPr>
                <w:r>
                  <w:fldChar w:fldCharType="begin"/>
                </w:r>
                <w:r>
                  <w:instrText xml:space="preserve"> STYLEREF  标准文件_文件编号  \* MERGEFORMAT </w:instrText>
                </w:r>
                <w:r>
                  <w:fldChar w:fldCharType="separate"/>
                </w:r>
                <w:r>
                  <w:t>DB34/TXXXX—XXXX</w:t>
                </w:r>
                <w:r>
                  <w:fldChar w:fldCharType="end"/>
                </w:r>
              </w:p>
            </w:txbxContent>
          </v:textbox>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D6CDA">
    <w:pPr>
      <w:pStyle w:val="61"/>
    </w:pPr>
    <w:r>
      <w:fldChar w:fldCharType="begin"/>
    </w:r>
    <w:r>
      <w:instrText xml:space="preserve"> STYLEREF  标准文件_文件编号  \* MERGEFORMAT </w:instrText>
    </w:r>
    <w:r>
      <w:fldChar w:fldCharType="separate"/>
    </w:r>
    <w:r>
      <w:t>DB34/TXXXX—XXXX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30F73">
    <w:pPr>
      <w:pStyle w:val="62"/>
    </w:pPr>
    <w:r>
      <w:fldChar w:fldCharType="begin"/>
    </w:r>
    <w:r>
      <w:instrText xml:space="preserve"> STYLEREF  标准文件_文件编号 \* MERGEFORMAT </w:instrText>
    </w:r>
    <w:r>
      <w:fldChar w:fldCharType="separate"/>
    </w:r>
    <w:r>
      <w:t>DB34/TXXXX—XXXX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48727">
    <w:pPr>
      <w:pStyle w:val="61"/>
    </w:pPr>
    <w:r>
      <w:fldChar w:fldCharType="begin"/>
    </w:r>
    <w:r>
      <w:instrText xml:space="preserve"> STYLEREF  标准文件_文件编号  \* MERGEFORMAT </w:instrText>
    </w:r>
    <w:r>
      <w:fldChar w:fldCharType="separate"/>
    </w:r>
    <w:r>
      <w:t>DB34/TXXXX—XXXX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E58F8">
    <w:pPr>
      <w:pStyle w:val="62"/>
    </w:pPr>
    <w:r>
      <w:fldChar w:fldCharType="begin"/>
    </w:r>
    <w:r>
      <w:instrText xml:space="preserve"> STYLEREF  标准文件_文件编号 \* MERGEFORMAT </w:instrText>
    </w:r>
    <w:r>
      <w:fldChar w:fldCharType="separate"/>
    </w:r>
    <w:r>
      <w:t>DB34/TXXXX—XXXX</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09690">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E9EC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657EA">
    <w:pPr>
      <w:pStyle w:val="61"/>
    </w:pPr>
    <w:r>
      <w:fldChar w:fldCharType="begin"/>
    </w:r>
    <w:r>
      <w:instrText xml:space="preserve"> STYLEREF  标准文件_文件编号  \* MERGEFORMAT </w:instrText>
    </w:r>
    <w:r>
      <w:fldChar w:fldCharType="separate"/>
    </w:r>
    <w:r>
      <w:t>DB34/TXXXX—XXXX</w:t>
    </w:r>
    <w:r>
      <w:fldChar w:fldCharType="end"/>
    </w:r>
    <w:r>
      <w:rPr>
        <w:rFonts w:hint="eastAsia"/>
      </w:rPr>
      <w:t>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D09D1">
    <w:pPr>
      <w:pStyle w:val="62"/>
    </w:pPr>
    <w:r>
      <w:fldChar w:fldCharType="begin"/>
    </w:r>
    <w:r>
      <w:instrText xml:space="preserve"> STYLEREF  标准文件_文件编号 \* MERGEFORMAT </w:instrText>
    </w:r>
    <w:r>
      <w:fldChar w:fldCharType="separate"/>
    </w:r>
    <w:r>
      <w:t>DB34/TXXXX—XXXX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B3DF2">
    <w:pPr>
      <w:pStyle w:val="61"/>
    </w:pPr>
    <w:r>
      <w:fldChar w:fldCharType="begin"/>
    </w:r>
    <w:r>
      <w:instrText xml:space="preserve"> STYLEREF  标准文件_文件编号  \* MERGEFORMAT </w:instrText>
    </w:r>
    <w:r>
      <w:fldChar w:fldCharType="separate"/>
    </w:r>
    <w:r>
      <w:t>DB34/TXXXX—XXXX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73FD4">
    <w:pPr>
      <w:pStyle w:val="62"/>
      <w:jc w:val="both"/>
    </w:pPr>
    <w:r>
      <w:fldChar w:fldCharType="begin"/>
    </w:r>
    <w:r>
      <w:instrText xml:space="preserve">STYLEREF  标准文件_文件编号 \* MERGEFORMAT</w:instrText>
    </w:r>
    <w:r>
      <w:fldChar w:fldCharType="separate"/>
    </w:r>
    <w:r>
      <w:t>DB34/TXXXX—XXXX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1AE0D">
    <w:pPr>
      <w:pStyle w:val="61"/>
    </w:pPr>
    <w:r>
      <w:fldChar w:fldCharType="begin"/>
    </w:r>
    <w:r>
      <w:instrText xml:space="preserve"> STYLEREF  标准文件_文件编号  \* MERGEFORMAT </w:instrText>
    </w:r>
    <w:r>
      <w:fldChar w:fldCharType="separate"/>
    </w:r>
    <w:r>
      <w:t>DB34/TXXXX—XXXX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A7BCD">
    <w:pPr>
      <w:pStyle w:val="62"/>
    </w:pPr>
    <w:r>
      <w:fldChar w:fldCharType="begin"/>
    </w:r>
    <w:r>
      <w:instrText xml:space="preserve"> STYLEREF  标准文件_文件编号 \* MERGEFORMAT </w:instrText>
    </w:r>
    <w:r>
      <w:fldChar w:fldCharType="separate"/>
    </w:r>
    <w:r>
      <w:t>DB34/TXXXX—XXXX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59E4F"/>
    <w:multiLevelType w:val="singleLevel"/>
    <w:tmpl w:val="91F59E4F"/>
    <w:lvl w:ilvl="0" w:tentative="0">
      <w:start w:val="1"/>
      <w:numFmt w:val="decimal"/>
      <w:suff w:val="nothing"/>
      <w:lvlText w:val="%1、"/>
      <w:lvlJc w:val="left"/>
    </w:lvl>
  </w:abstractNum>
  <w:abstractNum w:abstractNumId="1">
    <w:nsid w:val="9BFCF61A"/>
    <w:multiLevelType w:val="singleLevel"/>
    <w:tmpl w:val="9BFCF61A"/>
    <w:lvl w:ilvl="0" w:tentative="0">
      <w:start w:val="1"/>
      <w:numFmt w:val="decimal"/>
      <w:suff w:val="nothing"/>
      <w:lvlText w:val="%1、"/>
      <w:lvlJc w:val="left"/>
    </w:lvl>
  </w:abstractNum>
  <w:abstractNum w:abstractNumId="2">
    <w:nsid w:val="D4B32413"/>
    <w:multiLevelType w:val="singleLevel"/>
    <w:tmpl w:val="D4B32413"/>
    <w:lvl w:ilvl="0" w:tentative="0">
      <w:start w:val="1"/>
      <w:numFmt w:val="decimal"/>
      <w:suff w:val="nothing"/>
      <w:lvlText w:val="%1、"/>
      <w:lvlJc w:val="left"/>
    </w:lvl>
  </w:abstractNum>
  <w:abstractNum w:abstractNumId="3">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4">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5">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6">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8">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0">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2">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3">
    <w:nsid w:val="22A376E0"/>
    <w:multiLevelType w:val="singleLevel"/>
    <w:tmpl w:val="22A376E0"/>
    <w:lvl w:ilvl="0" w:tentative="0">
      <w:start w:val="1"/>
      <w:numFmt w:val="decimal"/>
      <w:suff w:val="nothing"/>
      <w:lvlText w:val="%1、"/>
      <w:lvlJc w:val="left"/>
    </w:lvl>
  </w:abstractNum>
  <w:abstractNum w:abstractNumId="14">
    <w:nsid w:val="26F11D5C"/>
    <w:multiLevelType w:val="singleLevel"/>
    <w:tmpl w:val="26F11D5C"/>
    <w:lvl w:ilvl="0" w:tentative="0">
      <w:start w:val="1"/>
      <w:numFmt w:val="decimal"/>
      <w:suff w:val="nothing"/>
      <w:lvlText w:val="%1、"/>
      <w:lvlJc w:val="left"/>
    </w:lvl>
  </w:abstractNum>
  <w:abstractNum w:abstractNumId="15">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6">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7">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8">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9">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0">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2">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3">
    <w:nsid w:val="5603797C"/>
    <w:multiLevelType w:val="multilevel"/>
    <w:tmpl w:val="5603797C"/>
    <w:lvl w:ilvl="0" w:tentative="0">
      <w:start w:val="1"/>
      <w:numFmt w:val="upperLetter"/>
      <w:pStyle w:val="199"/>
      <w:suff w:val="space"/>
      <w:lvlText w:val="%1"/>
      <w:lvlJc w:val="left"/>
      <w:pPr>
        <w:ind w:left="8505" w:hanging="425"/>
      </w:pPr>
      <w:rPr>
        <w:rFonts w:hint="eastAsia"/>
      </w:rPr>
    </w:lvl>
    <w:lvl w:ilvl="1" w:tentative="0">
      <w:start w:val="1"/>
      <w:numFmt w:val="decimal"/>
      <w:pStyle w:val="77"/>
      <w:suff w:val="space"/>
      <w:lvlText w:val="表%1.%2 "/>
      <w:lvlJc w:val="center"/>
      <w:pPr>
        <w:ind w:left="8080" w:firstLine="0"/>
      </w:pPr>
      <w:rPr>
        <w:rFonts w:hint="eastAsia" w:ascii="黑体" w:eastAsia="黑体"/>
        <w:sz w:val="21"/>
      </w:rPr>
    </w:lvl>
    <w:lvl w:ilvl="2" w:tentative="0">
      <w:start w:val="1"/>
      <w:numFmt w:val="decimal"/>
      <w:lvlText w:val="%1.%2.%3"/>
      <w:lvlJc w:val="left"/>
      <w:pPr>
        <w:ind w:left="9498" w:hanging="567"/>
      </w:pPr>
      <w:rPr>
        <w:rFonts w:hint="eastAsia"/>
      </w:rPr>
    </w:lvl>
    <w:lvl w:ilvl="3" w:tentative="0">
      <w:start w:val="1"/>
      <w:numFmt w:val="decimal"/>
      <w:lvlText w:val="%1.%2.%3.%4"/>
      <w:lvlJc w:val="left"/>
      <w:pPr>
        <w:ind w:left="10064" w:hanging="708"/>
      </w:pPr>
      <w:rPr>
        <w:rFonts w:hint="eastAsia"/>
      </w:rPr>
    </w:lvl>
    <w:lvl w:ilvl="4" w:tentative="0">
      <w:start w:val="1"/>
      <w:numFmt w:val="decimal"/>
      <w:lvlText w:val="%1.%2.%3.%4.%5"/>
      <w:lvlJc w:val="left"/>
      <w:pPr>
        <w:ind w:left="10631" w:hanging="850"/>
      </w:pPr>
      <w:rPr>
        <w:rFonts w:hint="eastAsia"/>
      </w:rPr>
    </w:lvl>
    <w:lvl w:ilvl="5" w:tentative="0">
      <w:start w:val="1"/>
      <w:numFmt w:val="decimal"/>
      <w:lvlText w:val="%1.%2.%3.%4.%5.%6"/>
      <w:lvlJc w:val="left"/>
      <w:pPr>
        <w:ind w:left="11340" w:hanging="1134"/>
      </w:pPr>
      <w:rPr>
        <w:rFonts w:hint="eastAsia"/>
      </w:rPr>
    </w:lvl>
    <w:lvl w:ilvl="6" w:tentative="0">
      <w:start w:val="1"/>
      <w:numFmt w:val="decimal"/>
      <w:lvlText w:val="%1.%2.%3.%4.%5.%6.%7"/>
      <w:lvlJc w:val="left"/>
      <w:pPr>
        <w:ind w:left="11907" w:hanging="1276"/>
      </w:pPr>
      <w:rPr>
        <w:rFonts w:hint="eastAsia"/>
      </w:rPr>
    </w:lvl>
    <w:lvl w:ilvl="7" w:tentative="0">
      <w:start w:val="1"/>
      <w:numFmt w:val="decimal"/>
      <w:lvlText w:val="%1.%2.%3.%4.%5.%6.%7.%8"/>
      <w:lvlJc w:val="left"/>
      <w:pPr>
        <w:ind w:left="12474" w:hanging="1418"/>
      </w:pPr>
      <w:rPr>
        <w:rFonts w:hint="eastAsia"/>
      </w:rPr>
    </w:lvl>
    <w:lvl w:ilvl="8" w:tentative="0">
      <w:start w:val="1"/>
      <w:numFmt w:val="decimal"/>
      <w:lvlText w:val="%1.%2.%3.%4.%5.%6.%7.%8.%9"/>
      <w:lvlJc w:val="left"/>
      <w:pPr>
        <w:ind w:left="13182" w:hanging="1700"/>
      </w:pPr>
      <w:rPr>
        <w:rFonts w:hint="eastAsia"/>
      </w:rPr>
    </w:lvl>
  </w:abstractNum>
  <w:abstractNum w:abstractNumId="24">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6">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7">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8">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9">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0">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1">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496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3">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4">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5">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32"/>
  </w:num>
  <w:num w:numId="3">
    <w:abstractNumId w:val="8"/>
  </w:num>
  <w:num w:numId="4">
    <w:abstractNumId w:val="28"/>
  </w:num>
  <w:num w:numId="5">
    <w:abstractNumId w:val="23"/>
  </w:num>
  <w:num w:numId="6">
    <w:abstractNumId w:val="18"/>
  </w:num>
  <w:num w:numId="7">
    <w:abstractNumId w:val="11"/>
  </w:num>
  <w:num w:numId="8">
    <w:abstractNumId w:val="6"/>
  </w:num>
  <w:num w:numId="9">
    <w:abstractNumId w:val="12"/>
  </w:num>
  <w:num w:numId="10">
    <w:abstractNumId w:val="21"/>
  </w:num>
  <w:num w:numId="11">
    <w:abstractNumId w:val="30"/>
  </w:num>
  <w:num w:numId="12">
    <w:abstractNumId w:val="16"/>
  </w:num>
  <w:num w:numId="13">
    <w:abstractNumId w:val="17"/>
  </w:num>
  <w:num w:numId="14">
    <w:abstractNumId w:val="10"/>
  </w:num>
  <w:num w:numId="15">
    <w:abstractNumId w:val="24"/>
  </w:num>
  <w:num w:numId="16">
    <w:abstractNumId w:val="26"/>
  </w:num>
  <w:num w:numId="17">
    <w:abstractNumId w:val="22"/>
  </w:num>
  <w:num w:numId="18">
    <w:abstractNumId w:val="34"/>
  </w:num>
  <w:num w:numId="19">
    <w:abstractNumId w:val="20"/>
  </w:num>
  <w:num w:numId="20">
    <w:abstractNumId w:val="4"/>
  </w:num>
  <w:num w:numId="21">
    <w:abstractNumId w:val="15"/>
  </w:num>
  <w:num w:numId="22">
    <w:abstractNumId w:val="35"/>
  </w:num>
  <w:num w:numId="23">
    <w:abstractNumId w:val="25"/>
  </w:num>
  <w:num w:numId="24">
    <w:abstractNumId w:val="9"/>
  </w:num>
  <w:num w:numId="25">
    <w:abstractNumId w:val="31"/>
  </w:num>
  <w:num w:numId="26">
    <w:abstractNumId w:val="33"/>
  </w:num>
  <w:num w:numId="27">
    <w:abstractNumId w:val="5"/>
  </w:num>
  <w:num w:numId="28">
    <w:abstractNumId w:val="7"/>
  </w:num>
  <w:num w:numId="29">
    <w:abstractNumId w:val="19"/>
  </w:num>
  <w:num w:numId="30">
    <w:abstractNumId w:val="29"/>
  </w:num>
  <w:num w:numId="31">
    <w:abstractNumId w:val="27"/>
  </w:num>
  <w:num w:numId="32">
    <w:abstractNumId w:val="0"/>
  </w:num>
  <w:num w:numId="33">
    <w:abstractNumId w:val="2"/>
  </w:num>
  <w:num w:numId="34">
    <w:abstractNumId w:val="13"/>
  </w:num>
  <w:num w:numId="35">
    <w:abstractNumId w:val="1"/>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1059"/>
    <w:rsid w:val="0000040A"/>
    <w:rsid w:val="00000A94"/>
    <w:rsid w:val="00001972"/>
    <w:rsid w:val="00001D9A"/>
    <w:rsid w:val="000042FB"/>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679E"/>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B15"/>
    <w:rsid w:val="00071CC0"/>
    <w:rsid w:val="00073031"/>
    <w:rsid w:val="00073C8C"/>
    <w:rsid w:val="000755E9"/>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97B2F"/>
    <w:rsid w:val="000A01A0"/>
    <w:rsid w:val="000A0B60"/>
    <w:rsid w:val="000A0EB8"/>
    <w:rsid w:val="000A19FC"/>
    <w:rsid w:val="000A296B"/>
    <w:rsid w:val="000A4E90"/>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44EB"/>
    <w:rsid w:val="00116E32"/>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332A"/>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70D"/>
    <w:rsid w:val="001852C9"/>
    <w:rsid w:val="0018747C"/>
    <w:rsid w:val="00190087"/>
    <w:rsid w:val="001913C4"/>
    <w:rsid w:val="0019348F"/>
    <w:rsid w:val="001938F3"/>
    <w:rsid w:val="00193A07"/>
    <w:rsid w:val="00194C95"/>
    <w:rsid w:val="00195C34"/>
    <w:rsid w:val="00196EF5"/>
    <w:rsid w:val="001A1A53"/>
    <w:rsid w:val="001A234A"/>
    <w:rsid w:val="001A4CF3"/>
    <w:rsid w:val="001B06E8"/>
    <w:rsid w:val="001B71D0"/>
    <w:rsid w:val="001B71EE"/>
    <w:rsid w:val="001C04A8"/>
    <w:rsid w:val="001C2C03"/>
    <w:rsid w:val="001C42F7"/>
    <w:rsid w:val="001C433B"/>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2E38"/>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450"/>
    <w:rsid w:val="00250B25"/>
    <w:rsid w:val="00250BBE"/>
    <w:rsid w:val="002515C2"/>
    <w:rsid w:val="0025194F"/>
    <w:rsid w:val="0026148A"/>
    <w:rsid w:val="00262696"/>
    <w:rsid w:val="00263D25"/>
    <w:rsid w:val="00264286"/>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89"/>
    <w:rsid w:val="002D79AC"/>
    <w:rsid w:val="002E039D"/>
    <w:rsid w:val="002E4D5A"/>
    <w:rsid w:val="002E6326"/>
    <w:rsid w:val="002E6B69"/>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5B1E"/>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0866"/>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E6B2E"/>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7E8"/>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60B0"/>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05AA"/>
    <w:rsid w:val="00612952"/>
    <w:rsid w:val="00614CC1"/>
    <w:rsid w:val="00615A9D"/>
    <w:rsid w:val="00617387"/>
    <w:rsid w:val="006205D6"/>
    <w:rsid w:val="006252D8"/>
    <w:rsid w:val="006259BC"/>
    <w:rsid w:val="0062636B"/>
    <w:rsid w:val="00632182"/>
    <w:rsid w:val="00632AE0"/>
    <w:rsid w:val="00633C17"/>
    <w:rsid w:val="00634D9E"/>
    <w:rsid w:val="006366CF"/>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32F3"/>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2817"/>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4DE6"/>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64A"/>
    <w:rsid w:val="008D0CE8"/>
    <w:rsid w:val="008D174C"/>
    <w:rsid w:val="008D1E49"/>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3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0515"/>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295E"/>
    <w:rsid w:val="00B049AF"/>
    <w:rsid w:val="00B07242"/>
    <w:rsid w:val="00B10534"/>
    <w:rsid w:val="00B113DB"/>
    <w:rsid w:val="00B11D8A"/>
    <w:rsid w:val="00B12981"/>
    <w:rsid w:val="00B147DD"/>
    <w:rsid w:val="00B156FD"/>
    <w:rsid w:val="00B21F61"/>
    <w:rsid w:val="00B25E37"/>
    <w:rsid w:val="00B261F1"/>
    <w:rsid w:val="00B265BC"/>
    <w:rsid w:val="00B31FB1"/>
    <w:rsid w:val="00B33952"/>
    <w:rsid w:val="00B33C5E"/>
    <w:rsid w:val="00B342F4"/>
    <w:rsid w:val="00B34369"/>
    <w:rsid w:val="00B34DC2"/>
    <w:rsid w:val="00B378E5"/>
    <w:rsid w:val="00B4346D"/>
    <w:rsid w:val="00B440F4"/>
    <w:rsid w:val="00B447A5"/>
    <w:rsid w:val="00B45CFF"/>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0D6F"/>
    <w:rsid w:val="00BB203B"/>
    <w:rsid w:val="00BB5F8F"/>
    <w:rsid w:val="00BB657A"/>
    <w:rsid w:val="00BC1A4E"/>
    <w:rsid w:val="00BC4790"/>
    <w:rsid w:val="00BC5DC7"/>
    <w:rsid w:val="00BC6B8B"/>
    <w:rsid w:val="00BC73D8"/>
    <w:rsid w:val="00BD05F4"/>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4E6C"/>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1E4"/>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1059"/>
    <w:rsid w:val="00DE2410"/>
    <w:rsid w:val="00DE2939"/>
    <w:rsid w:val="00DE6E81"/>
    <w:rsid w:val="00DE703F"/>
    <w:rsid w:val="00DE7595"/>
    <w:rsid w:val="00DF1961"/>
    <w:rsid w:val="00DF44DE"/>
    <w:rsid w:val="00DF5F11"/>
    <w:rsid w:val="00E00156"/>
    <w:rsid w:val="00E01138"/>
    <w:rsid w:val="00E02DFB"/>
    <w:rsid w:val="00E030F9"/>
    <w:rsid w:val="00E0311A"/>
    <w:rsid w:val="00E03138"/>
    <w:rsid w:val="00E06404"/>
    <w:rsid w:val="00E065D2"/>
    <w:rsid w:val="00E11377"/>
    <w:rsid w:val="00E119C2"/>
    <w:rsid w:val="00E11A85"/>
    <w:rsid w:val="00E11B1F"/>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77A62"/>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0E3E"/>
    <w:rsid w:val="00EB17DE"/>
    <w:rsid w:val="00EB1E69"/>
    <w:rsid w:val="00EB2086"/>
    <w:rsid w:val="00EB5EDF"/>
    <w:rsid w:val="00EB60FE"/>
    <w:rsid w:val="00EB74DB"/>
    <w:rsid w:val="00EC5359"/>
    <w:rsid w:val="00EC562A"/>
    <w:rsid w:val="00ED067A"/>
    <w:rsid w:val="00ED22A0"/>
    <w:rsid w:val="00ED2B50"/>
    <w:rsid w:val="00EE0350"/>
    <w:rsid w:val="00EE0719"/>
    <w:rsid w:val="00EE0E80"/>
    <w:rsid w:val="00EE54A6"/>
    <w:rsid w:val="00EE613F"/>
    <w:rsid w:val="00EE7295"/>
    <w:rsid w:val="00EE7869"/>
    <w:rsid w:val="00EF054A"/>
    <w:rsid w:val="00EF3235"/>
    <w:rsid w:val="00EF7E72"/>
    <w:rsid w:val="00F06A33"/>
    <w:rsid w:val="00F06D37"/>
    <w:rsid w:val="00F06FC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5DCF"/>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E1B3955"/>
    <w:rsid w:val="1EA41135"/>
    <w:rsid w:val="292D1B8D"/>
    <w:rsid w:val="30841037"/>
    <w:rsid w:val="452D79B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ind w:left="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Times New Roman"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style>
  <w:style w:type="paragraph" w:customStyle="1" w:styleId="189">
    <w:name w:val="标准文件_一级项2"/>
    <w:basedOn w:val="56"/>
    <w:qFormat/>
    <w:uiPriority w:val="0"/>
    <w:pPr>
      <w:numPr>
        <w:ilvl w:val="0"/>
        <w:numId w:val="31"/>
      </w:numPr>
      <w:spacing w:line="300" w:lineRule="exact"/>
      <w:ind w:firstLineChars="0"/>
    </w:p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Times New Roman"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styleId="230">
    <w:name w:val="List Paragraph"/>
    <w:basedOn w:val="1"/>
    <w:qFormat/>
    <w:uiPriority w:val="34"/>
    <w:pPr>
      <w:ind w:firstLine="420" w:firstLineChars="200"/>
    </w:pPr>
  </w:style>
  <w:style w:type="character" w:customStyle="1" w:styleId="231">
    <w:name w:val="不明显参考2"/>
    <w:qFormat/>
    <w:uiPriority w:val="31"/>
    <w:rPr>
      <w:smallCaps/>
      <w:color w:val="C0504D"/>
      <w:u w:val="singl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2" Type="http://schemas.openxmlformats.org/officeDocument/2006/relationships/glossaryDocument" Target="glossary/document.xml"/><Relationship Id="rId41" Type="http://schemas.openxmlformats.org/officeDocument/2006/relationships/fontTable" Target="fontTable.xml"/><Relationship Id="rId40" Type="http://schemas.openxmlformats.org/officeDocument/2006/relationships/customXml" Target="../customXml/item2.xml"/><Relationship Id="rId4" Type="http://schemas.openxmlformats.org/officeDocument/2006/relationships/endnotes" Target="endnotes.xml"/><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image" Target="media/image2.jpeg"/><Relationship Id="rId36" Type="http://schemas.openxmlformats.org/officeDocument/2006/relationships/image" Target="media/image1.tiff"/><Relationship Id="rId35" Type="http://schemas.openxmlformats.org/officeDocument/2006/relationships/theme" Target="theme/theme1.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3C2B6DCF27840628D82D2C9B67B7B61"/>
        <w:style w:val=""/>
        <w:category>
          <w:name w:val="常规"/>
          <w:gallery w:val="placeholder"/>
        </w:category>
        <w:types>
          <w:type w:val="bbPlcHdr"/>
        </w:types>
        <w:behaviors>
          <w:behavior w:val="content"/>
        </w:behaviors>
        <w:description w:val=""/>
        <w:guid w:val="{F8814D67-E8D8-44B0-92AD-8D383322528F}"/>
      </w:docPartPr>
      <w:docPartBody>
        <w:p w14:paraId="048857F1">
          <w:pPr>
            <w:pStyle w:val="5"/>
          </w:pPr>
          <w:r>
            <w:rPr>
              <w:rStyle w:val="4"/>
              <w:rFonts w:hint="eastAsia"/>
            </w:rPr>
            <w:t>单击或点击此处输入文字。</w:t>
          </w:r>
        </w:p>
      </w:docPartBody>
    </w:docPart>
    <w:docPart>
      <w:docPartPr>
        <w:name w:val="010A26C14DE54DCBA1C0F554B7557E6A"/>
        <w:style w:val=""/>
        <w:category>
          <w:name w:val="常规"/>
          <w:gallery w:val="placeholder"/>
        </w:category>
        <w:types>
          <w:type w:val="bbPlcHdr"/>
        </w:types>
        <w:behaviors>
          <w:behavior w:val="content"/>
        </w:behaviors>
        <w:description w:val=""/>
        <w:guid w:val="{191A46A5-1562-42DB-A582-8CF38DB38330}"/>
      </w:docPartPr>
      <w:docPartBody>
        <w:p w14:paraId="1C047450">
          <w:pPr>
            <w:pStyle w:val="6"/>
          </w:pPr>
          <w:r>
            <w:rPr>
              <w:rStyle w:val="4"/>
              <w:rFonts w:hint="eastAsia"/>
            </w:rPr>
            <w:t>选择一项。</w:t>
          </w:r>
        </w:p>
      </w:docPartBody>
    </w:docPart>
    <w:docPart>
      <w:docPartPr>
        <w:name w:val="8F4B02BB3B16491A99AB1CA68D5A54F5"/>
        <w:style w:val=""/>
        <w:category>
          <w:name w:val="常规"/>
          <w:gallery w:val="placeholder"/>
        </w:category>
        <w:types>
          <w:type w:val="bbPlcHdr"/>
        </w:types>
        <w:behaviors>
          <w:behavior w:val="content"/>
        </w:behaviors>
        <w:description w:val=""/>
        <w:guid w:val="{DC436C6C-327D-492B-8109-8F09D19CDABC}"/>
      </w:docPartPr>
      <w:docPartBody>
        <w:p w14:paraId="2D783853">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E3FCB"/>
    <w:rsid w:val="00097B2F"/>
    <w:rsid w:val="001676D3"/>
    <w:rsid w:val="0018747C"/>
    <w:rsid w:val="001938F3"/>
    <w:rsid w:val="001C433B"/>
    <w:rsid w:val="002E02EA"/>
    <w:rsid w:val="0034519D"/>
    <w:rsid w:val="0036234B"/>
    <w:rsid w:val="003638CE"/>
    <w:rsid w:val="00457AF0"/>
    <w:rsid w:val="00582FC7"/>
    <w:rsid w:val="006366CF"/>
    <w:rsid w:val="007158DB"/>
    <w:rsid w:val="007D2817"/>
    <w:rsid w:val="008163A7"/>
    <w:rsid w:val="00A90748"/>
    <w:rsid w:val="00B0295E"/>
    <w:rsid w:val="00B45CFF"/>
    <w:rsid w:val="00B758E4"/>
    <w:rsid w:val="00B90F33"/>
    <w:rsid w:val="00D11412"/>
    <w:rsid w:val="00D53E64"/>
    <w:rsid w:val="00E00156"/>
    <w:rsid w:val="00E11B1F"/>
    <w:rsid w:val="00EC71D5"/>
    <w:rsid w:val="00EE3FC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3C2B6DCF27840628D82D2C9B67B7B61"/>
    <w:qFormat/>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 w:type="paragraph" w:customStyle="1" w:styleId="6">
    <w:name w:val="010A26C14DE54DCBA1C0F554B7557E6A"/>
    <w:qFormat/>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 w:type="paragraph" w:customStyle="1" w:styleId="7">
    <w:name w:val="8F4B02BB3B16491A99AB1CA68D5A54F5"/>
    <w:qFormat/>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 w:type="paragraph" w:customStyle="1" w:styleId="8">
    <w:name w:val="20D45E996222493494E696F9CAC8589D"/>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3073"/>
    <customShpInfo spid="_x0000_s1026"/>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15</Pages>
  <Words>6916</Words>
  <Characters>7229</Characters>
  <Lines>66</Lines>
  <Paragraphs>18</Paragraphs>
  <TotalTime>35</TotalTime>
  <ScaleCrop>false</ScaleCrop>
  <LinksUpToDate>false</LinksUpToDate>
  <CharactersWithSpaces>7287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2025-07-08T02:40:00Z</dcterms:created>
  <dc:creator>孤独的糖小兔</dc:creator>
  <dc:description>&lt;config cover="true" show_menu="true" version="1.0.0" doctype="SDKXY"&gt;_x000d_
&lt;/config&gt;</dc:description>
  <cp:lastModifiedBy>忐忑</cp:lastModifiedBy>
  <cp:lastPrinted>2020-08-30T10:00:00Z</cp:lastPrinted>
  <dcterms:modified xsi:type="dcterms:W3CDTF">2025-07-18T02:20:43Z</dcterms:modified>
  <dc:title>地方标准</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eyJoZGlkIjoiMjE1MGZmOTRhZjllMGExZDlkZTMzYmYzNTljMTkwODUiLCJ1c2VySWQiOiI0MzYwMTU0NjQifQ==</vt:lpwstr>
  </property>
  <property fmtid="{D5CDD505-2E9C-101B-9397-08002B2CF9AE}" pid="15" name="KSOProductBuildVer">
    <vt:lpwstr>2052-12.1.0.21915</vt:lpwstr>
  </property>
  <property fmtid="{D5CDD505-2E9C-101B-9397-08002B2CF9AE}" pid="16" name="ICV">
    <vt:lpwstr>73830E8AA64645D68238DEF4AFCB0039_12</vt:lpwstr>
  </property>
  <property fmtid="{D5CDD505-2E9C-101B-9397-08002B2CF9AE}" pid="17" name="DoublePage">
    <vt:lpwstr>true</vt:lpwstr>
  </property>
</Properties>
</file>